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CD3" w:rsidRDefault="00124CD3" w:rsidP="005A5580">
      <w:pPr>
        <w:pStyle w:val="Heading1"/>
        <w:jc w:val="both"/>
      </w:pPr>
      <w:r>
        <w:rPr>
          <w:noProof/>
        </w:rPr>
        <w:drawing>
          <wp:inline distT="0" distB="0" distL="0" distR="0" wp14:anchorId="45812A4D" wp14:editId="07409E53">
            <wp:extent cx="1412299" cy="556018"/>
            <wp:effectExtent l="19050" t="0" r="0" b="0"/>
            <wp:docPr id="3" name="Picture 0" descr="IMA-AI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AIM-logo.jpg"/>
                    <pic:cNvPicPr/>
                  </pic:nvPicPr>
                  <pic:blipFill>
                    <a:blip r:embed="rId9" cstate="print"/>
                    <a:stretch>
                      <a:fillRect/>
                    </a:stretch>
                  </pic:blipFill>
                  <pic:spPr>
                    <a:xfrm>
                      <a:off x="0" y="0"/>
                      <a:ext cx="1413684" cy="556563"/>
                    </a:xfrm>
                    <a:prstGeom prst="rect">
                      <a:avLst/>
                    </a:prstGeom>
                  </pic:spPr>
                </pic:pic>
              </a:graphicData>
            </a:graphic>
          </wp:inline>
        </w:drawing>
      </w:r>
    </w:p>
    <w:p w:rsidR="00687BF8" w:rsidRPr="005902B0" w:rsidRDefault="005371C2" w:rsidP="00025ACD">
      <w:pPr>
        <w:jc w:val="right"/>
        <w:rPr>
          <w:lang w:val="nl-BE"/>
        </w:rPr>
      </w:pPr>
      <w:r w:rsidRPr="005902B0">
        <w:rPr>
          <w:lang w:val="nl-BE"/>
        </w:rPr>
        <w:t xml:space="preserve">Brussel, </w:t>
      </w:r>
      <w:r w:rsidR="000752EE">
        <w:rPr>
          <w:lang w:val="nl-BE"/>
        </w:rPr>
        <w:t xml:space="preserve">10 </w:t>
      </w:r>
      <w:r w:rsidR="00F91E10">
        <w:rPr>
          <w:lang w:val="nl-BE"/>
        </w:rPr>
        <w:t>september</w:t>
      </w:r>
      <w:r w:rsidR="00D613CF" w:rsidRPr="005902B0">
        <w:rPr>
          <w:lang w:val="nl-BE"/>
        </w:rPr>
        <w:t xml:space="preserve"> 2014</w:t>
      </w:r>
    </w:p>
    <w:p w:rsidR="00C519B6" w:rsidRPr="005902B0" w:rsidRDefault="00C519B6" w:rsidP="005A5580">
      <w:pPr>
        <w:pStyle w:val="BodyText"/>
        <w:ind w:left="284"/>
        <w:jc w:val="both"/>
        <w:rPr>
          <w:rFonts w:ascii="Trebuchet MS" w:hAnsi="Trebuchet MS"/>
          <w:lang w:val="nl-BE"/>
        </w:rPr>
      </w:pPr>
    </w:p>
    <w:p w:rsidR="004212DB" w:rsidRDefault="005371C2" w:rsidP="004212DB">
      <w:pPr>
        <w:pStyle w:val="BodyText"/>
        <w:ind w:left="284"/>
        <w:rPr>
          <w:rFonts w:asciiTheme="minorHAnsi" w:hAnsiTheme="minorHAnsi" w:cstheme="minorHAnsi"/>
          <w:sz w:val="24"/>
          <w:szCs w:val="24"/>
          <w:lang w:val="nl-BE"/>
        </w:rPr>
      </w:pPr>
      <w:r w:rsidRPr="004212DB">
        <w:rPr>
          <w:rFonts w:asciiTheme="minorHAnsi" w:hAnsiTheme="minorHAnsi" w:cstheme="minorHAnsi"/>
          <w:sz w:val="24"/>
          <w:szCs w:val="24"/>
          <w:lang w:val="nl-BE"/>
        </w:rPr>
        <w:t xml:space="preserve">Bevallingen in ziekenhuismilieu tijdens de periode </w:t>
      </w:r>
      <w:r w:rsidR="00C519B6" w:rsidRPr="004212DB">
        <w:rPr>
          <w:rFonts w:asciiTheme="minorHAnsi" w:hAnsiTheme="minorHAnsi" w:cstheme="minorHAnsi"/>
          <w:sz w:val="24"/>
          <w:szCs w:val="24"/>
          <w:lang w:val="nl-BE"/>
        </w:rPr>
        <w:t xml:space="preserve">2008-2011 </w:t>
      </w:r>
      <w:r w:rsidRPr="004212DB">
        <w:rPr>
          <w:rFonts w:asciiTheme="minorHAnsi" w:hAnsiTheme="minorHAnsi" w:cstheme="minorHAnsi"/>
          <w:sz w:val="24"/>
          <w:szCs w:val="24"/>
          <w:lang w:val="nl-BE"/>
        </w:rPr>
        <w:t>i</w:t>
      </w:r>
      <w:r w:rsidR="00C519B6" w:rsidRPr="004212DB">
        <w:rPr>
          <w:rFonts w:asciiTheme="minorHAnsi" w:hAnsiTheme="minorHAnsi" w:cstheme="minorHAnsi"/>
          <w:sz w:val="24"/>
          <w:szCs w:val="24"/>
          <w:lang w:val="nl-BE"/>
        </w:rPr>
        <w:t>n Belgi</w:t>
      </w:r>
      <w:r w:rsidRPr="004212DB">
        <w:rPr>
          <w:rFonts w:asciiTheme="minorHAnsi" w:hAnsiTheme="minorHAnsi" w:cstheme="minorHAnsi"/>
          <w:sz w:val="24"/>
          <w:szCs w:val="24"/>
          <w:lang w:val="nl-BE"/>
        </w:rPr>
        <w:t>ë</w:t>
      </w:r>
      <w:r w:rsidR="00AA3223" w:rsidRPr="004212DB">
        <w:rPr>
          <w:rFonts w:asciiTheme="minorHAnsi" w:hAnsiTheme="minorHAnsi" w:cstheme="minorHAnsi"/>
          <w:sz w:val="24"/>
          <w:szCs w:val="24"/>
          <w:lang w:val="nl-BE"/>
        </w:rPr>
        <w:t xml:space="preserve"> – </w:t>
      </w:r>
    </w:p>
    <w:p w:rsidR="000752EE" w:rsidRDefault="004212DB" w:rsidP="004212DB">
      <w:pPr>
        <w:pStyle w:val="BodyText"/>
        <w:ind w:left="284"/>
        <w:rPr>
          <w:rFonts w:asciiTheme="minorHAnsi" w:hAnsiTheme="minorHAnsi" w:cstheme="minorHAnsi"/>
          <w:sz w:val="24"/>
          <w:szCs w:val="24"/>
          <w:lang w:val="nl-BE"/>
        </w:rPr>
      </w:pPr>
      <w:r>
        <w:rPr>
          <w:rFonts w:asciiTheme="minorHAnsi" w:hAnsiTheme="minorHAnsi" w:cstheme="minorHAnsi"/>
          <w:sz w:val="24"/>
          <w:szCs w:val="24"/>
          <w:lang w:val="nl-BE"/>
        </w:rPr>
        <w:t>V</w:t>
      </w:r>
      <w:r w:rsidR="00AA3223" w:rsidRPr="004212DB">
        <w:rPr>
          <w:rFonts w:asciiTheme="minorHAnsi" w:hAnsiTheme="minorHAnsi" w:cstheme="minorHAnsi"/>
          <w:sz w:val="24"/>
          <w:szCs w:val="24"/>
          <w:lang w:val="nl-BE"/>
        </w:rPr>
        <w:t xml:space="preserve">erklarende nota bij </w:t>
      </w:r>
      <w:r w:rsidR="000752EE">
        <w:rPr>
          <w:rFonts w:asciiTheme="minorHAnsi" w:hAnsiTheme="minorHAnsi" w:cstheme="minorHAnsi"/>
          <w:sz w:val="24"/>
          <w:szCs w:val="24"/>
          <w:lang w:val="nl-BE"/>
        </w:rPr>
        <w:t xml:space="preserve">de 3 </w:t>
      </w:r>
      <w:proofErr w:type="spellStart"/>
      <w:r w:rsidR="008E602A">
        <w:rPr>
          <w:rFonts w:asciiTheme="minorHAnsi" w:hAnsiTheme="minorHAnsi" w:cstheme="minorHAnsi"/>
          <w:sz w:val="24"/>
          <w:szCs w:val="24"/>
          <w:lang w:val="nl-BE"/>
        </w:rPr>
        <w:t>excelbestand</w:t>
      </w:r>
      <w:r w:rsidR="000752EE">
        <w:rPr>
          <w:rFonts w:asciiTheme="minorHAnsi" w:hAnsiTheme="minorHAnsi" w:cstheme="minorHAnsi"/>
          <w:sz w:val="24"/>
          <w:szCs w:val="24"/>
          <w:lang w:val="nl-BE"/>
        </w:rPr>
        <w:t>en</w:t>
      </w:r>
      <w:proofErr w:type="spellEnd"/>
    </w:p>
    <w:p w:rsidR="00C519B6" w:rsidRPr="004212DB" w:rsidRDefault="000752EE" w:rsidP="004212DB">
      <w:pPr>
        <w:pStyle w:val="BodyText"/>
        <w:ind w:left="284"/>
        <w:rPr>
          <w:rFonts w:asciiTheme="minorHAnsi" w:hAnsiTheme="minorHAnsi" w:cstheme="minorHAnsi"/>
          <w:sz w:val="24"/>
          <w:szCs w:val="24"/>
          <w:lang w:val="nl-BE"/>
        </w:rPr>
      </w:pPr>
      <w:r>
        <w:rPr>
          <w:rFonts w:asciiTheme="minorHAnsi" w:hAnsiTheme="minorHAnsi" w:cstheme="minorHAnsi"/>
          <w:sz w:val="24"/>
          <w:szCs w:val="24"/>
          <w:lang w:val="nl-BE"/>
        </w:rPr>
        <w:t>(tabellen rapport, bijlagen 2008-2011, update 2012)</w:t>
      </w:r>
    </w:p>
    <w:p w:rsidR="004212DB" w:rsidRDefault="004212DB" w:rsidP="004212DB">
      <w:pPr>
        <w:spacing w:after="0"/>
        <w:jc w:val="both"/>
        <w:rPr>
          <w:lang w:val="nl-BE"/>
        </w:rPr>
      </w:pPr>
    </w:p>
    <w:p w:rsidR="004212DB" w:rsidRPr="00746BD2" w:rsidRDefault="00746BD2" w:rsidP="004212DB">
      <w:pPr>
        <w:spacing w:after="0"/>
        <w:jc w:val="both"/>
        <w:rPr>
          <w:b/>
          <w:lang w:val="nl-BE"/>
        </w:rPr>
      </w:pPr>
      <w:r w:rsidRPr="00746BD2">
        <w:rPr>
          <w:b/>
          <w:lang w:val="nl-BE"/>
        </w:rPr>
        <w:t>1.</w:t>
      </w:r>
      <w:r w:rsidRPr="00746BD2">
        <w:rPr>
          <w:b/>
          <w:lang w:val="nl-BE"/>
        </w:rPr>
        <w:tab/>
        <w:t xml:space="preserve">Inhoud </w:t>
      </w:r>
      <w:proofErr w:type="spellStart"/>
      <w:r w:rsidRPr="00746BD2">
        <w:rPr>
          <w:b/>
          <w:lang w:val="nl-BE"/>
        </w:rPr>
        <w:t>excelbestand</w:t>
      </w:r>
      <w:r w:rsidR="000752EE">
        <w:rPr>
          <w:b/>
          <w:lang w:val="nl-BE"/>
        </w:rPr>
        <w:t>en</w:t>
      </w:r>
      <w:proofErr w:type="spellEnd"/>
    </w:p>
    <w:p w:rsidR="004212DB" w:rsidRDefault="004212DB" w:rsidP="000E2BDA">
      <w:pPr>
        <w:spacing w:after="0"/>
        <w:rPr>
          <w:lang w:val="nl-BE"/>
        </w:rPr>
      </w:pPr>
    </w:p>
    <w:p w:rsidR="00746BD2" w:rsidRDefault="000752EE" w:rsidP="000E2BDA">
      <w:pPr>
        <w:spacing w:after="0"/>
        <w:rPr>
          <w:lang w:val="nl-BE"/>
        </w:rPr>
      </w:pPr>
      <w:r>
        <w:rPr>
          <w:lang w:val="nl-BE"/>
        </w:rPr>
        <w:t>De</w:t>
      </w:r>
      <w:r w:rsidR="00E806BE">
        <w:rPr>
          <w:lang w:val="nl-BE"/>
        </w:rPr>
        <w:t xml:space="preserve"> </w:t>
      </w:r>
      <w:proofErr w:type="spellStart"/>
      <w:r w:rsidR="00E806BE">
        <w:rPr>
          <w:lang w:val="nl-BE"/>
        </w:rPr>
        <w:t>excelbestand</w:t>
      </w:r>
      <w:r>
        <w:rPr>
          <w:lang w:val="nl-BE"/>
        </w:rPr>
        <w:t>en</w:t>
      </w:r>
      <w:proofErr w:type="spellEnd"/>
      <w:r w:rsidR="00E806BE">
        <w:rPr>
          <w:lang w:val="nl-BE"/>
        </w:rPr>
        <w:t xml:space="preserve"> bevat</w:t>
      </w:r>
      <w:r>
        <w:rPr>
          <w:lang w:val="nl-BE"/>
        </w:rPr>
        <w:t>ten</w:t>
      </w:r>
      <w:r w:rsidR="00E806BE">
        <w:rPr>
          <w:lang w:val="nl-BE"/>
        </w:rPr>
        <w:t xml:space="preserve"> 3</w:t>
      </w:r>
      <w:r w:rsidR="00F91E10">
        <w:rPr>
          <w:lang w:val="nl-BE"/>
        </w:rPr>
        <w:t>6</w:t>
      </w:r>
      <w:r w:rsidR="00E806BE">
        <w:rPr>
          <w:lang w:val="nl-BE"/>
        </w:rPr>
        <w:t xml:space="preserve"> werkbladen:</w:t>
      </w:r>
    </w:p>
    <w:p w:rsidR="00E806BE" w:rsidRDefault="00E806BE" w:rsidP="000E2BDA">
      <w:pPr>
        <w:spacing w:after="0"/>
        <w:rPr>
          <w:lang w:val="nl-BE"/>
        </w:rPr>
      </w:pPr>
    </w:p>
    <w:p w:rsidR="000752EE" w:rsidRDefault="000752EE" w:rsidP="000E2BDA">
      <w:pPr>
        <w:pStyle w:val="ListParagraph"/>
        <w:numPr>
          <w:ilvl w:val="0"/>
          <w:numId w:val="17"/>
        </w:numPr>
        <w:spacing w:after="0"/>
        <w:rPr>
          <w:lang w:val="nl-BE"/>
        </w:rPr>
      </w:pPr>
      <w:r>
        <w:rPr>
          <w:lang w:val="nl-BE"/>
        </w:rPr>
        <w:t xml:space="preserve">10 bijlagen met een overzicht 2008-2011 voor alle Belgische </w:t>
      </w:r>
      <w:proofErr w:type="spellStart"/>
      <w:r>
        <w:rPr>
          <w:lang w:val="nl-BE"/>
        </w:rPr>
        <w:t>materniteiten</w:t>
      </w:r>
      <w:proofErr w:type="spellEnd"/>
    </w:p>
    <w:p w:rsidR="000752EE" w:rsidRPr="000752EE" w:rsidRDefault="000752EE" w:rsidP="000752EE">
      <w:pPr>
        <w:pStyle w:val="ListParagraph"/>
        <w:numPr>
          <w:ilvl w:val="0"/>
          <w:numId w:val="17"/>
        </w:numPr>
        <w:spacing w:after="0"/>
        <w:rPr>
          <w:lang w:val="nl-BE"/>
        </w:rPr>
      </w:pPr>
      <w:r>
        <w:rPr>
          <w:lang w:val="nl-BE"/>
        </w:rPr>
        <w:t>Voor 6 van deze bijlagen een update 2012 van die cijfers per materniteit</w:t>
      </w:r>
      <w:r>
        <w:rPr>
          <w:rStyle w:val="FootnoteReference"/>
          <w:lang w:val="nl-BE"/>
        </w:rPr>
        <w:footnoteReference w:id="1"/>
      </w:r>
    </w:p>
    <w:p w:rsidR="00E806BE" w:rsidRPr="00E806BE" w:rsidRDefault="00E806BE" w:rsidP="000E2BDA">
      <w:pPr>
        <w:pStyle w:val="ListParagraph"/>
        <w:numPr>
          <w:ilvl w:val="0"/>
          <w:numId w:val="17"/>
        </w:numPr>
        <w:spacing w:after="0"/>
        <w:rPr>
          <w:lang w:val="nl-BE"/>
        </w:rPr>
      </w:pPr>
      <w:r w:rsidRPr="00E806BE">
        <w:rPr>
          <w:lang w:val="nl-BE"/>
        </w:rPr>
        <w:t xml:space="preserve">20 tabellen die de </w:t>
      </w:r>
      <w:proofErr w:type="spellStart"/>
      <w:r w:rsidRPr="00E806BE">
        <w:rPr>
          <w:lang w:val="nl-BE"/>
        </w:rPr>
        <w:t>excel</w:t>
      </w:r>
      <w:proofErr w:type="spellEnd"/>
      <w:r w:rsidRPr="00E806BE">
        <w:rPr>
          <w:lang w:val="nl-BE"/>
        </w:rPr>
        <w:t xml:space="preserve">-versie vormen van de tabellen aanwezig in het IMA-Rapport </w:t>
      </w:r>
      <w:r w:rsidRPr="00E806BE">
        <w:rPr>
          <w:i/>
          <w:lang w:val="nl-BE"/>
        </w:rPr>
        <w:t>‘Bevallingen in ziekenhuismilieu tijdens de periode 2008-2011 in België’</w:t>
      </w:r>
      <w:r>
        <w:rPr>
          <w:i/>
          <w:lang w:val="nl-BE"/>
        </w:rPr>
        <w:t xml:space="preserve">. </w:t>
      </w:r>
      <w:r>
        <w:rPr>
          <w:lang w:val="nl-BE"/>
        </w:rPr>
        <w:t>Die 20 tabellen zijn een extractie van de informatie vervat in de bijlagen</w:t>
      </w:r>
      <w:r w:rsidR="005D5EEC">
        <w:rPr>
          <w:rStyle w:val="FootnoteReference"/>
          <w:lang w:val="nl-BE"/>
        </w:rPr>
        <w:footnoteReference w:id="2"/>
      </w:r>
      <w:r>
        <w:rPr>
          <w:lang w:val="nl-BE"/>
        </w:rPr>
        <w:t>.</w:t>
      </w:r>
    </w:p>
    <w:p w:rsidR="00746BD2" w:rsidRDefault="00746BD2" w:rsidP="000E2BDA">
      <w:pPr>
        <w:spacing w:after="0"/>
        <w:rPr>
          <w:lang w:val="nl-BE"/>
        </w:rPr>
      </w:pPr>
    </w:p>
    <w:p w:rsidR="006C5D37" w:rsidRPr="006C5D37" w:rsidRDefault="006C5D37" w:rsidP="000E2BDA">
      <w:pPr>
        <w:spacing w:after="0"/>
        <w:rPr>
          <w:b/>
          <w:lang w:val="nl-BE"/>
        </w:rPr>
      </w:pPr>
      <w:r w:rsidRPr="006C5D37">
        <w:rPr>
          <w:b/>
          <w:lang w:val="nl-BE"/>
        </w:rPr>
        <w:t>2.</w:t>
      </w:r>
      <w:r w:rsidRPr="006C5D37">
        <w:rPr>
          <w:b/>
          <w:lang w:val="nl-BE"/>
        </w:rPr>
        <w:tab/>
        <w:t xml:space="preserve">Inhoud van de verschillende </w:t>
      </w:r>
      <w:r w:rsidR="00AB0C33">
        <w:rPr>
          <w:b/>
          <w:lang w:val="nl-BE"/>
        </w:rPr>
        <w:t>B</w:t>
      </w:r>
      <w:r w:rsidRPr="006C5D37">
        <w:rPr>
          <w:b/>
          <w:lang w:val="nl-BE"/>
        </w:rPr>
        <w:t>ijlagen</w:t>
      </w:r>
      <w:r w:rsidR="005D5EEC">
        <w:rPr>
          <w:b/>
          <w:lang w:val="nl-BE"/>
        </w:rPr>
        <w:t xml:space="preserve"> en </w:t>
      </w:r>
      <w:r w:rsidR="00AB0C33">
        <w:rPr>
          <w:b/>
          <w:lang w:val="nl-BE"/>
        </w:rPr>
        <w:t>T</w:t>
      </w:r>
      <w:r w:rsidR="005D5EEC">
        <w:rPr>
          <w:b/>
          <w:lang w:val="nl-BE"/>
        </w:rPr>
        <w:t>abellen 15, 16 en 17</w:t>
      </w:r>
    </w:p>
    <w:p w:rsidR="006C5D37" w:rsidRDefault="006C5D37" w:rsidP="000E2BDA">
      <w:pPr>
        <w:spacing w:after="0"/>
        <w:rPr>
          <w:lang w:val="nl-BE"/>
        </w:rPr>
      </w:pPr>
    </w:p>
    <w:p w:rsidR="006C5D37" w:rsidRDefault="006C5D37" w:rsidP="000E2BDA">
      <w:pPr>
        <w:spacing w:after="0"/>
        <w:rPr>
          <w:lang w:val="nl-BE"/>
        </w:rPr>
      </w:pPr>
      <w:r>
        <w:rPr>
          <w:lang w:val="nl-BE"/>
        </w:rPr>
        <w:t xml:space="preserve">Aangezien </w:t>
      </w:r>
      <w:r w:rsidR="005D5EEC">
        <w:rPr>
          <w:lang w:val="nl-BE"/>
        </w:rPr>
        <w:t>het gros van de</w:t>
      </w:r>
      <w:r>
        <w:rPr>
          <w:lang w:val="nl-BE"/>
        </w:rPr>
        <w:t xml:space="preserve"> tabellen van het rapport telkenmale een synthese zijn van één van de </w:t>
      </w:r>
      <w:r w:rsidR="000752EE">
        <w:rPr>
          <w:lang w:val="nl-BE"/>
        </w:rPr>
        <w:t xml:space="preserve">16 </w:t>
      </w:r>
      <w:r>
        <w:rPr>
          <w:lang w:val="nl-BE"/>
        </w:rPr>
        <w:t>bijlagen, zal hier enkel een overzicht van de inhoud van de versch</w:t>
      </w:r>
      <w:r w:rsidR="005D5EEC">
        <w:rPr>
          <w:lang w:val="nl-BE"/>
        </w:rPr>
        <w:t>illende bijlagen gegeven worden, samen met een toelichting over de tabellen 15, 16 en 17.</w:t>
      </w:r>
    </w:p>
    <w:p w:rsidR="006C5D37" w:rsidRDefault="006C5D37" w:rsidP="000E2BDA">
      <w:pPr>
        <w:spacing w:after="0"/>
        <w:rPr>
          <w:lang w:val="nl-BE"/>
        </w:rPr>
      </w:pPr>
    </w:p>
    <w:p w:rsidR="005D5EEC" w:rsidRPr="005D5EEC" w:rsidRDefault="005D5EEC" w:rsidP="000E2BDA">
      <w:pPr>
        <w:spacing w:after="0"/>
        <w:rPr>
          <w:b/>
          <w:i/>
          <w:lang w:val="nl-BE"/>
        </w:rPr>
      </w:pPr>
      <w:r w:rsidRPr="005D5EEC">
        <w:rPr>
          <w:b/>
          <w:i/>
          <w:lang w:val="nl-BE"/>
        </w:rPr>
        <w:t>I.</w:t>
      </w:r>
      <w:r w:rsidRPr="005D5EEC">
        <w:rPr>
          <w:b/>
          <w:i/>
          <w:lang w:val="nl-BE"/>
        </w:rPr>
        <w:tab/>
        <w:t>‘Klassieke’ problematiek van fusie van ziekenhuizen</w:t>
      </w:r>
      <w:r>
        <w:rPr>
          <w:b/>
          <w:i/>
          <w:lang w:val="nl-BE"/>
        </w:rPr>
        <w:t>/campussen</w:t>
      </w:r>
      <w:r w:rsidRPr="005D5EEC">
        <w:rPr>
          <w:b/>
          <w:i/>
          <w:lang w:val="nl-BE"/>
        </w:rPr>
        <w:t xml:space="preserve"> over de tijd</w:t>
      </w:r>
    </w:p>
    <w:p w:rsidR="005D5EEC" w:rsidRDefault="005D5EEC" w:rsidP="000E2BDA">
      <w:pPr>
        <w:spacing w:after="0"/>
        <w:ind w:left="709" w:hanging="709"/>
        <w:rPr>
          <w:lang w:val="nl-BE"/>
        </w:rPr>
      </w:pPr>
    </w:p>
    <w:p w:rsidR="006C5D37" w:rsidRDefault="006C5D37" w:rsidP="000E2BDA">
      <w:pPr>
        <w:spacing w:after="0"/>
        <w:ind w:left="709" w:hanging="709"/>
        <w:rPr>
          <w:lang w:val="nl-BE"/>
        </w:rPr>
      </w:pPr>
      <w:r>
        <w:rPr>
          <w:lang w:val="nl-BE"/>
        </w:rPr>
        <w:t>2.1.</w:t>
      </w:r>
      <w:r>
        <w:rPr>
          <w:lang w:val="nl-BE"/>
        </w:rPr>
        <w:tab/>
      </w:r>
      <w:r w:rsidRPr="006C5D37">
        <w:rPr>
          <w:u w:val="single"/>
          <w:lang w:val="nl-BE"/>
        </w:rPr>
        <w:t>Bijlage 1 - lijst van ziekenhuizen waarvan de resultaten 2008-2011 samengevoegd werden in de tabellen van het rapport</w:t>
      </w:r>
    </w:p>
    <w:p w:rsidR="006C5D37" w:rsidRDefault="006C5D37" w:rsidP="000E2BDA">
      <w:pPr>
        <w:spacing w:after="0"/>
        <w:rPr>
          <w:lang w:val="nl-BE"/>
        </w:rPr>
      </w:pPr>
    </w:p>
    <w:p w:rsidR="006C5D37" w:rsidRDefault="006C5D37" w:rsidP="000E2BDA">
      <w:pPr>
        <w:spacing w:after="0"/>
        <w:rPr>
          <w:lang w:val="nl-BE"/>
        </w:rPr>
      </w:pPr>
      <w:r>
        <w:rPr>
          <w:lang w:val="nl-BE"/>
        </w:rPr>
        <w:t xml:space="preserve">Voor 9 </w:t>
      </w:r>
      <w:proofErr w:type="spellStart"/>
      <w:r>
        <w:rPr>
          <w:lang w:val="nl-BE"/>
        </w:rPr>
        <w:t>materniteiten</w:t>
      </w:r>
      <w:proofErr w:type="spellEnd"/>
      <w:r>
        <w:rPr>
          <w:lang w:val="nl-BE"/>
        </w:rPr>
        <w:t xml:space="preserve"> (of campussen) hebben we geen volledige tijdsreeks 2008-20</w:t>
      </w:r>
      <w:r w:rsidR="005D5EEC">
        <w:rPr>
          <w:lang w:val="nl-BE"/>
        </w:rPr>
        <w:t>11</w:t>
      </w:r>
      <w:r>
        <w:rPr>
          <w:lang w:val="nl-BE"/>
        </w:rPr>
        <w:t>, voor 1 materniteit wel (fusieziekenhuis St-</w:t>
      </w:r>
      <w:proofErr w:type="spellStart"/>
      <w:r>
        <w:rPr>
          <w:lang w:val="nl-BE"/>
        </w:rPr>
        <w:t>Vincentius</w:t>
      </w:r>
      <w:proofErr w:type="spellEnd"/>
      <w:r>
        <w:rPr>
          <w:lang w:val="nl-BE"/>
        </w:rPr>
        <w:t xml:space="preserve"> Antwerpen) maar met m</w:t>
      </w:r>
      <w:r w:rsidR="004C6B9A">
        <w:rPr>
          <w:lang w:val="nl-BE"/>
        </w:rPr>
        <w:t>arginale aantallen voor 2010 en 2011</w:t>
      </w:r>
      <w:r w:rsidR="00B507B5">
        <w:rPr>
          <w:lang w:val="nl-BE"/>
        </w:rPr>
        <w:t xml:space="preserve"> (en 2012)</w:t>
      </w:r>
      <w:r w:rsidR="004C6B9A">
        <w:rPr>
          <w:lang w:val="nl-BE"/>
        </w:rPr>
        <w:t>. Om die reden hebben we de betrokken ziekenhuizen/campussen samengebracht tot één entiteit vanaf 2008.</w:t>
      </w:r>
    </w:p>
    <w:p w:rsidR="004C6B9A" w:rsidRDefault="004C6B9A" w:rsidP="000E2BDA">
      <w:pPr>
        <w:spacing w:after="0"/>
        <w:rPr>
          <w:lang w:val="nl-BE"/>
        </w:rPr>
      </w:pPr>
    </w:p>
    <w:p w:rsidR="004C6B9A" w:rsidRDefault="004C6B9A" w:rsidP="00B507B5">
      <w:pPr>
        <w:spacing w:after="0"/>
        <w:rPr>
          <w:lang w:val="nl-BE"/>
        </w:rPr>
      </w:pPr>
      <w:r>
        <w:rPr>
          <w:lang w:val="nl-BE"/>
        </w:rPr>
        <w:t>Bijlage 1 geeft hier het overzicht van.</w:t>
      </w:r>
      <w:r>
        <w:rPr>
          <w:lang w:val="nl-BE"/>
        </w:rPr>
        <w:br w:type="page"/>
      </w:r>
    </w:p>
    <w:p w:rsidR="00532CA9" w:rsidRPr="00532CA9" w:rsidRDefault="005D5EEC" w:rsidP="000E2BDA">
      <w:pPr>
        <w:spacing w:after="0"/>
        <w:rPr>
          <w:b/>
          <w:i/>
          <w:lang w:val="nl-BE"/>
        </w:rPr>
      </w:pPr>
      <w:r>
        <w:rPr>
          <w:b/>
          <w:i/>
          <w:lang w:val="nl-BE"/>
        </w:rPr>
        <w:lastRenderedPageBreak/>
        <w:t>I</w:t>
      </w:r>
      <w:r w:rsidR="00532CA9">
        <w:rPr>
          <w:b/>
          <w:i/>
          <w:lang w:val="nl-BE"/>
        </w:rPr>
        <w:t xml:space="preserve">I. </w:t>
      </w:r>
      <w:r w:rsidR="00532CA9">
        <w:rPr>
          <w:b/>
          <w:i/>
          <w:lang w:val="nl-BE"/>
        </w:rPr>
        <w:tab/>
      </w:r>
      <w:r w:rsidR="00532CA9" w:rsidRPr="00532CA9">
        <w:rPr>
          <w:b/>
          <w:i/>
          <w:lang w:val="nl-BE"/>
        </w:rPr>
        <w:t>Bijlagen met globale informatie</w:t>
      </w:r>
    </w:p>
    <w:p w:rsidR="00532CA9" w:rsidRDefault="00532CA9" w:rsidP="000E2BDA">
      <w:pPr>
        <w:spacing w:after="0"/>
        <w:rPr>
          <w:lang w:val="nl-BE"/>
        </w:rPr>
      </w:pPr>
    </w:p>
    <w:p w:rsidR="004C6B9A" w:rsidRDefault="004C6B9A" w:rsidP="000E2BDA">
      <w:pPr>
        <w:spacing w:after="0"/>
        <w:rPr>
          <w:lang w:val="nl-BE"/>
        </w:rPr>
      </w:pPr>
      <w:r>
        <w:rPr>
          <w:lang w:val="nl-BE"/>
        </w:rPr>
        <w:t>2.2.</w:t>
      </w:r>
      <w:r>
        <w:rPr>
          <w:lang w:val="nl-BE"/>
        </w:rPr>
        <w:tab/>
      </w:r>
      <w:r w:rsidRPr="004C6B9A">
        <w:rPr>
          <w:u w:val="single"/>
          <w:lang w:val="nl-BE"/>
        </w:rPr>
        <w:t>Bijlage 2 - aandeel bevallingen via keizersnede per ziekenhuis voor de periode 2008-2011</w:t>
      </w:r>
      <w:r w:rsidR="00F91E10">
        <w:rPr>
          <w:rStyle w:val="FootnoteReference"/>
          <w:u w:val="single"/>
          <w:lang w:val="nl-BE"/>
        </w:rPr>
        <w:footnoteReference w:id="3"/>
      </w:r>
    </w:p>
    <w:p w:rsidR="006C5D37" w:rsidRDefault="006C5D37" w:rsidP="000E2BDA">
      <w:pPr>
        <w:spacing w:after="0"/>
        <w:rPr>
          <w:lang w:val="nl-BE"/>
        </w:rPr>
      </w:pPr>
    </w:p>
    <w:p w:rsidR="004C6B9A" w:rsidRDefault="004C6B9A" w:rsidP="000E2BDA">
      <w:pPr>
        <w:spacing w:after="0"/>
        <w:rPr>
          <w:lang w:val="nl-BE"/>
        </w:rPr>
      </w:pPr>
      <w:r>
        <w:rPr>
          <w:lang w:val="nl-BE"/>
        </w:rPr>
        <w:t xml:space="preserve">Bijlage 2 geeft een overzicht van het aandeel keizersneden per materniteit over de periode 2008-2011. Op basis van de facturatiegegevens van de VI en na samenbrengen van de </w:t>
      </w:r>
      <w:proofErr w:type="spellStart"/>
      <w:r>
        <w:rPr>
          <w:lang w:val="nl-BE"/>
        </w:rPr>
        <w:t>materniteiten</w:t>
      </w:r>
      <w:proofErr w:type="spellEnd"/>
      <w:r>
        <w:rPr>
          <w:lang w:val="nl-BE"/>
        </w:rPr>
        <w:t xml:space="preserve"> zoals aangegeven in bij</w:t>
      </w:r>
      <w:r w:rsidR="00581A5F">
        <w:rPr>
          <w:lang w:val="nl-BE"/>
        </w:rPr>
        <w:t>l</w:t>
      </w:r>
      <w:r>
        <w:rPr>
          <w:lang w:val="nl-BE"/>
        </w:rPr>
        <w:t xml:space="preserve">age 1, komt men tot 100 </w:t>
      </w:r>
      <w:proofErr w:type="spellStart"/>
      <w:r>
        <w:rPr>
          <w:lang w:val="nl-BE"/>
        </w:rPr>
        <w:t>materniteiten</w:t>
      </w:r>
      <w:proofErr w:type="spellEnd"/>
      <w:r w:rsidR="000E2BDA">
        <w:rPr>
          <w:lang w:val="nl-BE"/>
        </w:rPr>
        <w:t>, geklasseer</w:t>
      </w:r>
      <w:r>
        <w:rPr>
          <w:lang w:val="nl-BE"/>
        </w:rPr>
        <w:t>d op basis van hun RIZIV-nummer. De laatste twee kolommen in bijlage 2 dienen als volgt gelezen te worden:</w:t>
      </w:r>
    </w:p>
    <w:p w:rsidR="004C6B9A" w:rsidRPr="0049323F" w:rsidRDefault="004C6B9A" w:rsidP="000E2BDA">
      <w:pPr>
        <w:pStyle w:val="ListParagraph"/>
        <w:numPr>
          <w:ilvl w:val="0"/>
          <w:numId w:val="18"/>
        </w:numPr>
        <w:spacing w:after="0"/>
        <w:rPr>
          <w:lang w:val="nl-BE"/>
        </w:rPr>
      </w:pPr>
      <w:r w:rsidRPr="0049323F">
        <w:rPr>
          <w:i/>
          <w:lang w:val="nl-BE"/>
        </w:rPr>
        <w:t xml:space="preserve">Evolutie aandeel </w:t>
      </w:r>
      <w:proofErr w:type="spellStart"/>
      <w:r w:rsidRPr="0049323F">
        <w:rPr>
          <w:i/>
          <w:lang w:val="nl-BE"/>
        </w:rPr>
        <w:t>keizersn</w:t>
      </w:r>
      <w:proofErr w:type="spellEnd"/>
      <w:r w:rsidRPr="0049323F">
        <w:rPr>
          <w:i/>
          <w:lang w:val="nl-BE"/>
        </w:rPr>
        <w:t>.</w:t>
      </w:r>
      <w:r w:rsidRPr="0049323F">
        <w:rPr>
          <w:lang w:val="nl-BE"/>
        </w:rPr>
        <w:t>: die kolom geeft voor elke materniteit de gemiddelde evolutie van het aandeel keizersneden binnen die materniteit.</w:t>
      </w:r>
      <w:r w:rsidR="002F0B2E">
        <w:rPr>
          <w:lang w:val="nl-BE"/>
        </w:rPr>
        <w:t xml:space="preserve"> </w:t>
      </w:r>
      <w:proofErr w:type="spellStart"/>
      <w:r w:rsidR="002F0B2E">
        <w:rPr>
          <w:lang w:val="nl-BE"/>
        </w:rPr>
        <w:t>Vb</w:t>
      </w:r>
      <w:proofErr w:type="spellEnd"/>
      <w:r w:rsidR="002F0B2E">
        <w:rPr>
          <w:lang w:val="nl-BE"/>
        </w:rPr>
        <w:t xml:space="preserve"> (eerste lijn van de tabel):</w:t>
      </w:r>
      <w:r w:rsidRPr="0049323F">
        <w:rPr>
          <w:lang w:val="nl-BE"/>
        </w:rPr>
        <w:t xml:space="preserve"> </w:t>
      </w:r>
      <w:r w:rsidR="002F0B2E">
        <w:rPr>
          <w:lang w:val="nl-BE"/>
        </w:rPr>
        <w:t>i</w:t>
      </w:r>
      <w:r w:rsidRPr="0049323F">
        <w:rPr>
          <w:lang w:val="nl-BE"/>
        </w:rPr>
        <w:t xml:space="preserve">n het Stedelijk </w:t>
      </w:r>
      <w:proofErr w:type="spellStart"/>
      <w:r w:rsidRPr="0049323F">
        <w:rPr>
          <w:lang w:val="nl-BE"/>
        </w:rPr>
        <w:t>Zh</w:t>
      </w:r>
      <w:proofErr w:type="spellEnd"/>
      <w:r w:rsidRPr="0049323F">
        <w:rPr>
          <w:lang w:val="nl-BE"/>
        </w:rPr>
        <w:t xml:space="preserve"> Roeselare kent het aandeel keizersneden tussen 2008 en 2011 dus een relatieve groei van 8,7% (2008: 13,0% keizersneden, 2011: 16,7%)</w:t>
      </w:r>
    </w:p>
    <w:p w:rsidR="0049323F" w:rsidRDefault="0049323F" w:rsidP="000E2BDA">
      <w:pPr>
        <w:pStyle w:val="ListParagraph"/>
        <w:numPr>
          <w:ilvl w:val="0"/>
          <w:numId w:val="18"/>
        </w:numPr>
        <w:spacing w:after="0"/>
        <w:rPr>
          <w:lang w:val="nl-BE"/>
        </w:rPr>
      </w:pPr>
      <w:r w:rsidRPr="0049323F">
        <w:rPr>
          <w:i/>
          <w:lang w:val="nl-BE"/>
        </w:rPr>
        <w:t xml:space="preserve">Gemiddeld % </w:t>
      </w:r>
      <w:proofErr w:type="spellStart"/>
      <w:r w:rsidRPr="0049323F">
        <w:rPr>
          <w:i/>
          <w:lang w:val="nl-BE"/>
        </w:rPr>
        <w:t>keizersn</w:t>
      </w:r>
      <w:proofErr w:type="spellEnd"/>
      <w:r w:rsidRPr="0049323F">
        <w:rPr>
          <w:i/>
          <w:lang w:val="nl-BE"/>
        </w:rPr>
        <w:t>.:</w:t>
      </w:r>
      <w:r w:rsidRPr="0049323F">
        <w:rPr>
          <w:lang w:val="nl-BE"/>
        </w:rPr>
        <w:t xml:space="preserve"> het aandeel keizersneden per materniteit als de vier jaar samen genomen worden (voor Roeselare dus 15,2% gemiddeld aandeel keizersneden over die 4 jaar)</w:t>
      </w:r>
    </w:p>
    <w:p w:rsidR="0049323F" w:rsidRDefault="0049323F" w:rsidP="000E2BDA">
      <w:pPr>
        <w:spacing w:after="0"/>
        <w:rPr>
          <w:lang w:val="nl-BE"/>
        </w:rPr>
      </w:pPr>
    </w:p>
    <w:p w:rsidR="0049323F" w:rsidRDefault="0049323F" w:rsidP="000E2BDA">
      <w:pPr>
        <w:spacing w:after="0"/>
        <w:ind w:left="709" w:hanging="709"/>
        <w:rPr>
          <w:lang w:val="nl-BE"/>
        </w:rPr>
      </w:pPr>
      <w:r>
        <w:rPr>
          <w:lang w:val="nl-BE"/>
        </w:rPr>
        <w:t>2.3.</w:t>
      </w:r>
      <w:r>
        <w:rPr>
          <w:lang w:val="nl-BE"/>
        </w:rPr>
        <w:tab/>
      </w:r>
      <w:r w:rsidRPr="0049323F">
        <w:rPr>
          <w:u w:val="single"/>
          <w:lang w:val="nl-BE"/>
        </w:rPr>
        <w:t>Bijlage 3 - Volume bevallingen per ziekenhuis in 2008-2011 - Rangschikking op basis van het aantal bevallingen in 2011</w:t>
      </w:r>
    </w:p>
    <w:p w:rsidR="0049323F" w:rsidRDefault="0049323F" w:rsidP="000E2BDA">
      <w:pPr>
        <w:spacing w:after="0"/>
        <w:rPr>
          <w:lang w:val="nl-BE"/>
        </w:rPr>
      </w:pPr>
    </w:p>
    <w:p w:rsidR="0049323F" w:rsidRDefault="0049323F" w:rsidP="000E2BDA">
      <w:pPr>
        <w:spacing w:after="0"/>
        <w:rPr>
          <w:lang w:val="nl-BE"/>
        </w:rPr>
      </w:pPr>
      <w:r>
        <w:rPr>
          <w:lang w:val="nl-BE"/>
        </w:rPr>
        <w:t xml:space="preserve">In deze bijlage wordt een overzicht gegeven van het globaal aantal bevallingen over de geobserveerde periode van 4 jaar. De </w:t>
      </w:r>
      <w:proofErr w:type="spellStart"/>
      <w:r>
        <w:rPr>
          <w:lang w:val="nl-BE"/>
        </w:rPr>
        <w:t>materniteiten</w:t>
      </w:r>
      <w:proofErr w:type="spellEnd"/>
      <w:r>
        <w:rPr>
          <w:lang w:val="nl-BE"/>
        </w:rPr>
        <w:t xml:space="preserve"> worden geklasseerd op basis van het volume van 2011.</w:t>
      </w:r>
    </w:p>
    <w:p w:rsidR="0049323F" w:rsidRDefault="0049323F" w:rsidP="000E2BDA">
      <w:pPr>
        <w:spacing w:after="0"/>
        <w:rPr>
          <w:lang w:val="nl-BE"/>
        </w:rPr>
      </w:pPr>
    </w:p>
    <w:p w:rsidR="0049323F" w:rsidRDefault="0049323F" w:rsidP="000E2BDA">
      <w:pPr>
        <w:spacing w:after="0"/>
        <w:rPr>
          <w:lang w:val="nl-BE"/>
        </w:rPr>
      </w:pPr>
      <w:r>
        <w:rPr>
          <w:lang w:val="nl-BE"/>
        </w:rPr>
        <w:t>De laats</w:t>
      </w:r>
      <w:r w:rsidR="000E2BDA">
        <w:rPr>
          <w:lang w:val="nl-BE"/>
        </w:rPr>
        <w:t xml:space="preserve">te 2 kolommen geven respectievelijk het aandeel per materniteit in de bevallingen 2011 en het gecumuleerd aandeel van de eerste X </w:t>
      </w:r>
      <w:proofErr w:type="spellStart"/>
      <w:r w:rsidR="000E2BDA">
        <w:rPr>
          <w:lang w:val="nl-BE"/>
        </w:rPr>
        <w:t>materniteiten</w:t>
      </w:r>
      <w:proofErr w:type="spellEnd"/>
      <w:r w:rsidR="000E2BDA">
        <w:rPr>
          <w:lang w:val="nl-BE"/>
        </w:rPr>
        <w:t xml:space="preserve"> in het totaal aantal bevallingen. </w:t>
      </w:r>
      <w:proofErr w:type="spellStart"/>
      <w:r w:rsidR="002F0B2E">
        <w:rPr>
          <w:lang w:val="nl-BE"/>
        </w:rPr>
        <w:t>Vb</w:t>
      </w:r>
      <w:proofErr w:type="spellEnd"/>
      <w:r w:rsidR="002F0B2E">
        <w:rPr>
          <w:lang w:val="nl-BE"/>
        </w:rPr>
        <w:t>: z</w:t>
      </w:r>
      <w:r w:rsidR="000E2BDA">
        <w:rPr>
          <w:lang w:val="nl-BE"/>
        </w:rPr>
        <w:t xml:space="preserve">o vertegenwoordigen de drie grootste </w:t>
      </w:r>
      <w:proofErr w:type="spellStart"/>
      <w:r w:rsidR="000E2BDA">
        <w:rPr>
          <w:lang w:val="nl-BE"/>
        </w:rPr>
        <w:t>materniteiten</w:t>
      </w:r>
      <w:proofErr w:type="spellEnd"/>
      <w:r w:rsidR="000E2BDA">
        <w:rPr>
          <w:lang w:val="nl-BE"/>
        </w:rPr>
        <w:t xml:space="preserve"> van België (Gasthuiszusters </w:t>
      </w:r>
      <w:proofErr w:type="spellStart"/>
      <w:r w:rsidR="000E2BDA">
        <w:rPr>
          <w:lang w:val="nl-BE"/>
        </w:rPr>
        <w:t>A’pen</w:t>
      </w:r>
      <w:proofErr w:type="spellEnd"/>
      <w:r w:rsidR="000E2BDA">
        <w:rPr>
          <w:lang w:val="nl-BE"/>
        </w:rPr>
        <w:t xml:space="preserve">, St-Vincent – </w:t>
      </w:r>
      <w:proofErr w:type="spellStart"/>
      <w:r w:rsidR="000E2BDA">
        <w:rPr>
          <w:lang w:val="nl-BE"/>
        </w:rPr>
        <w:t>Ste</w:t>
      </w:r>
      <w:proofErr w:type="spellEnd"/>
      <w:r w:rsidR="000E2BDA">
        <w:rPr>
          <w:lang w:val="nl-BE"/>
        </w:rPr>
        <w:t xml:space="preserve">-Elisabeth Liège en Edith </w:t>
      </w:r>
      <w:proofErr w:type="spellStart"/>
      <w:r w:rsidR="000E2BDA">
        <w:rPr>
          <w:lang w:val="nl-BE"/>
        </w:rPr>
        <w:t>Cavell</w:t>
      </w:r>
      <w:proofErr w:type="spellEnd"/>
      <w:r w:rsidR="005D5EEC">
        <w:rPr>
          <w:lang w:val="nl-BE"/>
        </w:rPr>
        <w:t xml:space="preserve"> Brussel</w:t>
      </w:r>
      <w:r w:rsidR="000E2BDA">
        <w:rPr>
          <w:lang w:val="nl-BE"/>
        </w:rPr>
        <w:t>) meer dan 10% van het totaal aantal bevallingen</w:t>
      </w:r>
      <w:r w:rsidR="00581A5F">
        <w:rPr>
          <w:lang w:val="nl-BE"/>
        </w:rPr>
        <w:t xml:space="preserve"> in ziekenhuismilieu</w:t>
      </w:r>
      <w:r w:rsidR="000E2BDA">
        <w:rPr>
          <w:lang w:val="nl-BE"/>
        </w:rPr>
        <w:t>.</w:t>
      </w:r>
    </w:p>
    <w:p w:rsidR="00F91E10" w:rsidRPr="00A50243" w:rsidRDefault="00F91E10" w:rsidP="00F91E10">
      <w:pPr>
        <w:spacing w:after="0"/>
        <w:rPr>
          <w:lang w:val="nl-BE"/>
        </w:rPr>
      </w:pPr>
    </w:p>
    <w:p w:rsidR="00F91E10" w:rsidRPr="00F91E10" w:rsidRDefault="00F91E10" w:rsidP="00F91E10">
      <w:pPr>
        <w:spacing w:after="0"/>
        <w:rPr>
          <w:lang w:val="nl-BE"/>
        </w:rPr>
      </w:pPr>
      <w:r w:rsidRPr="00F91E10">
        <w:rPr>
          <w:lang w:val="nl-BE"/>
        </w:rPr>
        <w:t>In bijlage 3bis (2008-2012), werden drie extra kolommen toegevoegd : het totaal aantal bevallingen over de periode van 5 jaar, het gemiddeld aantal bevallingen over die periode en de vastgestelde evolutie van het aantal bevallingen over die periode.</w:t>
      </w:r>
    </w:p>
    <w:p w:rsidR="000E2BDA" w:rsidRPr="00F91E10" w:rsidRDefault="000E2BDA" w:rsidP="000E2BDA">
      <w:pPr>
        <w:spacing w:after="0"/>
        <w:rPr>
          <w:lang w:val="nl-BE"/>
        </w:rPr>
      </w:pPr>
    </w:p>
    <w:p w:rsidR="00F91E10" w:rsidRDefault="00F91E10">
      <w:pPr>
        <w:rPr>
          <w:b/>
          <w:i/>
          <w:lang w:val="nl-BE"/>
        </w:rPr>
      </w:pPr>
      <w:r>
        <w:rPr>
          <w:b/>
          <w:i/>
          <w:lang w:val="nl-BE"/>
        </w:rPr>
        <w:br w:type="page"/>
      </w:r>
    </w:p>
    <w:p w:rsidR="00532CA9" w:rsidRPr="00532CA9" w:rsidRDefault="00532CA9" w:rsidP="005D5EEC">
      <w:pPr>
        <w:spacing w:after="0"/>
        <w:ind w:left="709" w:hanging="709"/>
        <w:rPr>
          <w:b/>
          <w:i/>
          <w:lang w:val="nl-BE"/>
        </w:rPr>
      </w:pPr>
      <w:r w:rsidRPr="00532CA9">
        <w:rPr>
          <w:b/>
          <w:i/>
          <w:lang w:val="nl-BE"/>
        </w:rPr>
        <w:lastRenderedPageBreak/>
        <w:t>I</w:t>
      </w:r>
      <w:r w:rsidR="005D5EEC">
        <w:rPr>
          <w:b/>
          <w:i/>
          <w:lang w:val="nl-BE"/>
        </w:rPr>
        <w:t>I</w:t>
      </w:r>
      <w:r w:rsidRPr="00532CA9">
        <w:rPr>
          <w:b/>
          <w:i/>
          <w:lang w:val="nl-BE"/>
        </w:rPr>
        <w:t>I.</w:t>
      </w:r>
      <w:r w:rsidRPr="00532CA9">
        <w:rPr>
          <w:b/>
          <w:i/>
          <w:lang w:val="nl-BE"/>
        </w:rPr>
        <w:tab/>
        <w:t>Bijlagen met informatie aangaande de kenmerken van de</w:t>
      </w:r>
      <w:r w:rsidR="005D5EEC">
        <w:rPr>
          <w:b/>
          <w:i/>
          <w:lang w:val="nl-BE"/>
        </w:rPr>
        <w:t xml:space="preserve"> (verblijven van de)</w:t>
      </w:r>
      <w:r w:rsidRPr="00532CA9">
        <w:rPr>
          <w:b/>
          <w:i/>
          <w:lang w:val="nl-BE"/>
        </w:rPr>
        <w:t xml:space="preserve"> bevallen patiënte</w:t>
      </w:r>
      <w:r w:rsidR="005D5EEC">
        <w:rPr>
          <w:b/>
          <w:i/>
          <w:lang w:val="nl-BE"/>
        </w:rPr>
        <w:t>s</w:t>
      </w:r>
    </w:p>
    <w:p w:rsidR="00532CA9" w:rsidRDefault="00532CA9" w:rsidP="000E2BDA">
      <w:pPr>
        <w:spacing w:after="0"/>
        <w:rPr>
          <w:lang w:val="nl-BE"/>
        </w:rPr>
      </w:pPr>
    </w:p>
    <w:p w:rsidR="000E2BDA" w:rsidRDefault="000E2BDA" w:rsidP="000E2BDA">
      <w:pPr>
        <w:spacing w:after="0"/>
        <w:rPr>
          <w:lang w:val="nl-BE"/>
        </w:rPr>
      </w:pPr>
      <w:r>
        <w:rPr>
          <w:lang w:val="nl-BE"/>
        </w:rPr>
        <w:t>2.4.</w:t>
      </w:r>
      <w:r>
        <w:rPr>
          <w:lang w:val="nl-BE"/>
        </w:rPr>
        <w:tab/>
      </w:r>
      <w:r w:rsidRPr="000E2BDA">
        <w:rPr>
          <w:u w:val="single"/>
          <w:lang w:val="nl-BE"/>
        </w:rPr>
        <w:t xml:space="preserve">Bijlage 4 - Bevallingen 2011 per instelling - kenmerken van het globale </w:t>
      </w:r>
      <w:proofErr w:type="spellStart"/>
      <w:r w:rsidRPr="000E2BDA">
        <w:rPr>
          <w:u w:val="single"/>
          <w:lang w:val="nl-BE"/>
        </w:rPr>
        <w:t>patiënteel</w:t>
      </w:r>
      <w:proofErr w:type="spellEnd"/>
    </w:p>
    <w:p w:rsidR="0049323F" w:rsidRDefault="0049323F" w:rsidP="000E2BDA">
      <w:pPr>
        <w:spacing w:after="0"/>
        <w:rPr>
          <w:lang w:val="nl-BE"/>
        </w:rPr>
      </w:pPr>
    </w:p>
    <w:p w:rsidR="000E2BDA" w:rsidRDefault="000E2BDA" w:rsidP="000E2BDA">
      <w:pPr>
        <w:spacing w:after="0"/>
        <w:rPr>
          <w:lang w:val="nl-BE"/>
        </w:rPr>
      </w:pPr>
      <w:r>
        <w:rPr>
          <w:lang w:val="nl-BE"/>
        </w:rPr>
        <w:t xml:space="preserve">Bijlage 4 geeft een overzicht van de persoons- en verblijfskenmerken voor de bevallingen per materniteit. De </w:t>
      </w:r>
      <w:proofErr w:type="spellStart"/>
      <w:r>
        <w:rPr>
          <w:lang w:val="nl-BE"/>
        </w:rPr>
        <w:t>materniteiten</w:t>
      </w:r>
      <w:proofErr w:type="spellEnd"/>
      <w:r>
        <w:rPr>
          <w:lang w:val="nl-BE"/>
        </w:rPr>
        <w:t xml:space="preserve"> worden gerangschikt volgens RIZIV-nummer.</w:t>
      </w:r>
    </w:p>
    <w:p w:rsidR="00F91E10" w:rsidRDefault="00F91E10" w:rsidP="000E2BDA">
      <w:pPr>
        <w:spacing w:after="0"/>
        <w:rPr>
          <w:lang w:val="nl-BE"/>
        </w:rPr>
      </w:pPr>
    </w:p>
    <w:p w:rsidR="000E2BDA" w:rsidRDefault="000E2BDA" w:rsidP="000E2BDA">
      <w:pPr>
        <w:spacing w:after="0"/>
        <w:rPr>
          <w:lang w:val="nl-BE"/>
        </w:rPr>
      </w:pPr>
      <w:r>
        <w:rPr>
          <w:lang w:val="nl-BE"/>
        </w:rPr>
        <w:t>Betekenis van de kolommen:</w:t>
      </w:r>
    </w:p>
    <w:p w:rsidR="000E2BDA" w:rsidRDefault="000E2BDA" w:rsidP="000E2BDA">
      <w:pPr>
        <w:spacing w:after="0"/>
        <w:rPr>
          <w:lang w:val="nl-BE"/>
        </w:rPr>
      </w:pPr>
    </w:p>
    <w:p w:rsidR="000E2BDA" w:rsidRDefault="000E2BDA" w:rsidP="000E2BDA">
      <w:pPr>
        <w:pStyle w:val="ListParagraph"/>
        <w:numPr>
          <w:ilvl w:val="0"/>
          <w:numId w:val="19"/>
        </w:numPr>
        <w:spacing w:after="0"/>
        <w:rPr>
          <w:lang w:val="nl-BE"/>
        </w:rPr>
      </w:pPr>
      <w:r w:rsidRPr="000E2BDA">
        <w:rPr>
          <w:lang w:val="nl-BE"/>
        </w:rPr>
        <w:t xml:space="preserve">De eerste vier kolommen geven een overzicht in absolute en relatieve aantallen van het aandeel keizersneden per materniteit </w:t>
      </w:r>
      <w:r>
        <w:rPr>
          <w:lang w:val="nl-BE"/>
        </w:rPr>
        <w:t>(</w:t>
      </w:r>
      <w:proofErr w:type="spellStart"/>
      <w:r w:rsidRPr="00581A5F">
        <w:rPr>
          <w:i/>
          <w:lang w:val="nl-BE"/>
        </w:rPr>
        <w:t>Aant</w:t>
      </w:r>
      <w:proofErr w:type="spellEnd"/>
      <w:r w:rsidRPr="00581A5F">
        <w:rPr>
          <w:i/>
          <w:lang w:val="nl-BE"/>
        </w:rPr>
        <w:t xml:space="preserve">. </w:t>
      </w:r>
      <w:proofErr w:type="spellStart"/>
      <w:r w:rsidRPr="00581A5F">
        <w:rPr>
          <w:i/>
          <w:lang w:val="nl-BE"/>
        </w:rPr>
        <w:t>keizersn</w:t>
      </w:r>
      <w:proofErr w:type="spellEnd"/>
      <w:r w:rsidRPr="00581A5F">
        <w:rPr>
          <w:i/>
          <w:lang w:val="nl-BE"/>
        </w:rPr>
        <w:t xml:space="preserve">., </w:t>
      </w:r>
      <w:proofErr w:type="spellStart"/>
      <w:r w:rsidRPr="00581A5F">
        <w:rPr>
          <w:i/>
          <w:lang w:val="nl-BE"/>
        </w:rPr>
        <w:t>Aant</w:t>
      </w:r>
      <w:proofErr w:type="spellEnd"/>
      <w:r w:rsidRPr="00581A5F">
        <w:rPr>
          <w:i/>
          <w:lang w:val="nl-BE"/>
        </w:rPr>
        <w:t xml:space="preserve">. </w:t>
      </w:r>
      <w:proofErr w:type="spellStart"/>
      <w:r w:rsidRPr="00581A5F">
        <w:rPr>
          <w:i/>
          <w:lang w:val="nl-BE"/>
        </w:rPr>
        <w:t>bevall</w:t>
      </w:r>
      <w:proofErr w:type="spellEnd"/>
      <w:r w:rsidRPr="00581A5F">
        <w:rPr>
          <w:i/>
          <w:lang w:val="nl-BE"/>
        </w:rPr>
        <w:t xml:space="preserve">. via vaginale weg, Totaal </w:t>
      </w:r>
      <w:proofErr w:type="spellStart"/>
      <w:r w:rsidRPr="00581A5F">
        <w:rPr>
          <w:i/>
          <w:lang w:val="nl-BE"/>
        </w:rPr>
        <w:t>aant</w:t>
      </w:r>
      <w:proofErr w:type="spellEnd"/>
      <w:r w:rsidRPr="00581A5F">
        <w:rPr>
          <w:i/>
          <w:lang w:val="nl-BE"/>
        </w:rPr>
        <w:t xml:space="preserve">. </w:t>
      </w:r>
      <w:proofErr w:type="spellStart"/>
      <w:r w:rsidRPr="00581A5F">
        <w:rPr>
          <w:i/>
          <w:lang w:val="nl-BE"/>
        </w:rPr>
        <w:t>bevall</w:t>
      </w:r>
      <w:proofErr w:type="spellEnd"/>
      <w:r w:rsidRPr="00581A5F">
        <w:rPr>
          <w:i/>
          <w:lang w:val="nl-BE"/>
        </w:rPr>
        <w:t xml:space="preserve">., % </w:t>
      </w:r>
      <w:proofErr w:type="spellStart"/>
      <w:r w:rsidRPr="00581A5F">
        <w:rPr>
          <w:i/>
          <w:lang w:val="nl-BE"/>
        </w:rPr>
        <w:t>Keizersn</w:t>
      </w:r>
      <w:proofErr w:type="spellEnd"/>
      <w:r w:rsidRPr="000E2BDA">
        <w:rPr>
          <w:lang w:val="nl-BE"/>
        </w:rPr>
        <w:t>.</w:t>
      </w:r>
      <w:r>
        <w:rPr>
          <w:lang w:val="nl-BE"/>
        </w:rPr>
        <w:t>)</w:t>
      </w:r>
    </w:p>
    <w:p w:rsidR="00686F16" w:rsidRPr="00686F16" w:rsidRDefault="00686F16" w:rsidP="00686F16">
      <w:pPr>
        <w:pStyle w:val="ListParagraph"/>
        <w:numPr>
          <w:ilvl w:val="0"/>
          <w:numId w:val="19"/>
        </w:numPr>
        <w:spacing w:after="0"/>
        <w:rPr>
          <w:i/>
          <w:lang w:val="nl-BE"/>
        </w:rPr>
      </w:pPr>
      <w:r w:rsidRPr="00686F16">
        <w:rPr>
          <w:i/>
          <w:lang w:val="nl-BE"/>
        </w:rPr>
        <w:t>Gem. leeftijd</w:t>
      </w:r>
      <w:r>
        <w:rPr>
          <w:lang w:val="nl-BE"/>
        </w:rPr>
        <w:t xml:space="preserve"> : gemiddelde leeftijd van de bevallen vrouwen per materniteit</w:t>
      </w:r>
    </w:p>
    <w:p w:rsidR="00686F16" w:rsidRPr="00686F16" w:rsidRDefault="00686F16" w:rsidP="00686F16">
      <w:pPr>
        <w:pStyle w:val="ListParagraph"/>
        <w:numPr>
          <w:ilvl w:val="0"/>
          <w:numId w:val="19"/>
        </w:numPr>
        <w:spacing w:after="0"/>
        <w:rPr>
          <w:i/>
          <w:lang w:val="nl-BE"/>
        </w:rPr>
      </w:pPr>
      <w:r>
        <w:rPr>
          <w:i/>
          <w:lang w:val="nl-BE"/>
        </w:rPr>
        <w:t>% Voorkeur</w:t>
      </w:r>
      <w:r w:rsidRPr="00686F16">
        <w:rPr>
          <w:i/>
          <w:lang w:val="nl-BE"/>
        </w:rPr>
        <w:t>regeling</w:t>
      </w:r>
      <w:r>
        <w:rPr>
          <w:lang w:val="nl-BE"/>
        </w:rPr>
        <w:t>: aandeel bevallen vrouwen met recht op voorkeurregeling</w:t>
      </w:r>
    </w:p>
    <w:p w:rsidR="00686F16" w:rsidRPr="00686F16" w:rsidRDefault="00686F16" w:rsidP="00686F16">
      <w:pPr>
        <w:pStyle w:val="ListParagraph"/>
        <w:numPr>
          <w:ilvl w:val="0"/>
          <w:numId w:val="19"/>
        </w:numPr>
        <w:spacing w:after="0"/>
        <w:rPr>
          <w:i/>
          <w:lang w:val="nl-BE"/>
        </w:rPr>
      </w:pPr>
      <w:r>
        <w:rPr>
          <w:i/>
          <w:lang w:val="nl-BE"/>
        </w:rPr>
        <w:t xml:space="preserve">Onder de 16 jaar/Aantal 40+: </w:t>
      </w:r>
      <w:r>
        <w:rPr>
          <w:lang w:val="nl-BE"/>
        </w:rPr>
        <w:t>absolute aantallen vrouwen onder de 16 jaar en boven de 40 jaar bevallen in die materniteit</w:t>
      </w:r>
    </w:p>
    <w:p w:rsidR="00686F16" w:rsidRPr="00686F16" w:rsidRDefault="00686F16" w:rsidP="00686F16">
      <w:pPr>
        <w:pStyle w:val="ListParagraph"/>
        <w:numPr>
          <w:ilvl w:val="0"/>
          <w:numId w:val="19"/>
        </w:numPr>
        <w:spacing w:after="0"/>
        <w:rPr>
          <w:i/>
          <w:lang w:val="nl-BE"/>
        </w:rPr>
      </w:pPr>
      <w:r>
        <w:rPr>
          <w:i/>
          <w:lang w:val="nl-BE"/>
        </w:rPr>
        <w:t xml:space="preserve">% </w:t>
      </w:r>
      <w:proofErr w:type="spellStart"/>
      <w:r>
        <w:rPr>
          <w:i/>
          <w:lang w:val="nl-BE"/>
        </w:rPr>
        <w:t>comorbiditeit</w:t>
      </w:r>
      <w:proofErr w:type="spellEnd"/>
      <w:r>
        <w:rPr>
          <w:i/>
          <w:lang w:val="nl-BE"/>
        </w:rPr>
        <w:t xml:space="preserve">: </w:t>
      </w:r>
      <w:r>
        <w:rPr>
          <w:lang w:val="nl-BE"/>
        </w:rPr>
        <w:t>aandeel vrouwen bij wie gedurende de 280 dagen voor de bevalling (en 21 maanden voor chronische diabetes) meer dan 90 DDD tijdens de 280 dagen voorafgaand aan de bevalling een geneesmiddel tegen een chronische aandoening afgeleverd kregen (of 90 DDD tijdens de 280 dagen + 90 DDD tijdens het jaar voorafgaand aan de 280 dagen – om een onderscheid te maken tussen chronische diabetes en zwangerschapsdiabetes).</w:t>
      </w:r>
    </w:p>
    <w:p w:rsidR="00686F16" w:rsidRDefault="00686F16" w:rsidP="00686F16">
      <w:pPr>
        <w:spacing w:after="0"/>
        <w:rPr>
          <w:i/>
          <w:lang w:val="nl-BE"/>
        </w:rPr>
      </w:pPr>
    </w:p>
    <w:p w:rsidR="00686F16" w:rsidRDefault="00686F16" w:rsidP="00686F16">
      <w:pPr>
        <w:spacing w:after="0"/>
        <w:rPr>
          <w:lang w:val="nl-BE"/>
        </w:rPr>
      </w:pPr>
      <w:r w:rsidRPr="00686F16">
        <w:rPr>
          <w:lang w:val="nl-BE"/>
        </w:rPr>
        <w:t>Hieronder de geselecteerde (chronische) aandoeningen</w:t>
      </w:r>
      <w:r w:rsidR="00B507B5">
        <w:rPr>
          <w:lang w:val="nl-BE"/>
        </w:rPr>
        <w:t xml:space="preserve"> en het aantal zwangere vrouwen die hier medicatie voor toegediend kregen</w:t>
      </w:r>
      <w:r w:rsidR="00B507B5">
        <w:rPr>
          <w:rStyle w:val="FootnoteReference"/>
          <w:lang w:val="nl-BE"/>
        </w:rPr>
        <w:footnoteReference w:id="4"/>
      </w:r>
      <w:r w:rsidR="000752EE">
        <w:rPr>
          <w:lang w:val="nl-BE"/>
        </w:rPr>
        <w:t xml:space="preserve"> </w:t>
      </w:r>
      <w:r w:rsidR="00CC641D">
        <w:rPr>
          <w:lang w:val="nl-BE"/>
        </w:rPr>
        <w:t xml:space="preserve">(cf. </w:t>
      </w:r>
      <w:r w:rsidR="00E361E8">
        <w:rPr>
          <w:lang w:val="nl-BE"/>
        </w:rPr>
        <w:t>R</w:t>
      </w:r>
      <w:r w:rsidR="00CC641D">
        <w:rPr>
          <w:lang w:val="nl-BE"/>
        </w:rPr>
        <w:t>apport prenatale zorgen (data 2010 – bevallingen tussen 1/4/2010 en 30/6/2010 en tussen 1/10/2010 en 31/12/2010))</w:t>
      </w:r>
      <w:r w:rsidR="00B507B5">
        <w:rPr>
          <w:lang w:val="nl-BE"/>
        </w:rPr>
        <w:t>.</w:t>
      </w:r>
    </w:p>
    <w:p w:rsidR="00686F16" w:rsidRDefault="00686F16" w:rsidP="000E2BDA">
      <w:pPr>
        <w:spacing w:after="0"/>
        <w:rPr>
          <w:lang w:val="nl-BE"/>
        </w:rPr>
      </w:pPr>
      <w:r w:rsidRPr="00B04B34">
        <w:rPr>
          <w:rFonts w:ascii="Trebuchet MS" w:hAnsi="Trebuchet MS"/>
          <w:noProof/>
        </w:rPr>
        <w:lastRenderedPageBreak/>
        <w:drawing>
          <wp:inline distT="0" distB="0" distL="0" distR="0" wp14:anchorId="55067B2A" wp14:editId="74AFF01E">
            <wp:extent cx="5760720" cy="4648256"/>
            <wp:effectExtent l="19050" t="0" r="0" b="0"/>
            <wp:docPr id="3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760720" cy="4648256"/>
                    </a:xfrm>
                    <a:prstGeom prst="rect">
                      <a:avLst/>
                    </a:prstGeom>
                    <a:noFill/>
                    <a:ln w="9525">
                      <a:noFill/>
                      <a:miter lim="800000"/>
                      <a:headEnd/>
                      <a:tailEnd/>
                    </a:ln>
                  </pic:spPr>
                </pic:pic>
              </a:graphicData>
            </a:graphic>
          </wp:inline>
        </w:drawing>
      </w:r>
    </w:p>
    <w:p w:rsidR="00686F16" w:rsidRDefault="00686F16" w:rsidP="000E2BDA">
      <w:pPr>
        <w:spacing w:after="0"/>
        <w:rPr>
          <w:lang w:val="nl-BE"/>
        </w:rPr>
      </w:pPr>
    </w:p>
    <w:p w:rsidR="00CC641D" w:rsidRDefault="00CC641D" w:rsidP="00CC641D">
      <w:pPr>
        <w:pStyle w:val="ListParagraph"/>
        <w:numPr>
          <w:ilvl w:val="0"/>
          <w:numId w:val="20"/>
        </w:numPr>
        <w:spacing w:after="0"/>
        <w:rPr>
          <w:lang w:val="nl-BE"/>
        </w:rPr>
      </w:pPr>
      <w:r w:rsidRPr="00CC641D">
        <w:rPr>
          <w:i/>
          <w:lang w:val="nl-BE"/>
        </w:rPr>
        <w:t>% risicozwangerschappen:</w:t>
      </w:r>
      <w:r>
        <w:rPr>
          <w:lang w:val="nl-BE"/>
        </w:rPr>
        <w:t xml:space="preserve"> aandeel bevallen vrouwen in de materniteit die aan (minstens) één van de volgende voorwaarden voldeed:</w:t>
      </w:r>
    </w:p>
    <w:p w:rsidR="00CC641D" w:rsidRDefault="00CC641D" w:rsidP="00CC641D">
      <w:pPr>
        <w:pStyle w:val="ListParagraph"/>
        <w:numPr>
          <w:ilvl w:val="1"/>
          <w:numId w:val="20"/>
        </w:numPr>
        <w:spacing w:after="0"/>
        <w:rPr>
          <w:lang w:val="nl-BE"/>
        </w:rPr>
      </w:pPr>
      <w:r>
        <w:rPr>
          <w:lang w:val="nl-BE"/>
        </w:rPr>
        <w:t>Ze had recht op de voorkeurregeling</w:t>
      </w:r>
    </w:p>
    <w:p w:rsidR="00CC641D" w:rsidRDefault="00CC641D" w:rsidP="00CC641D">
      <w:pPr>
        <w:pStyle w:val="ListParagraph"/>
        <w:numPr>
          <w:ilvl w:val="1"/>
          <w:numId w:val="20"/>
        </w:numPr>
        <w:spacing w:after="0"/>
        <w:rPr>
          <w:lang w:val="nl-BE"/>
        </w:rPr>
      </w:pPr>
      <w:r>
        <w:rPr>
          <w:lang w:val="nl-BE"/>
        </w:rPr>
        <w:t>Ze was jonger dan 16 jaar of ouder dan 40</w:t>
      </w:r>
    </w:p>
    <w:p w:rsidR="00CC641D" w:rsidRDefault="00CC641D" w:rsidP="00CC641D">
      <w:pPr>
        <w:pStyle w:val="ListParagraph"/>
        <w:numPr>
          <w:ilvl w:val="1"/>
          <w:numId w:val="20"/>
        </w:numPr>
        <w:spacing w:after="0"/>
        <w:rPr>
          <w:lang w:val="nl-BE"/>
        </w:rPr>
      </w:pPr>
      <w:r>
        <w:rPr>
          <w:lang w:val="nl-BE"/>
        </w:rPr>
        <w:t>Ze had een consumptie van meer dan 90 DDD voor één van de geselecteerde geneesmiddelenklassen tijdens de 280 dagen voorafgaand aan de bevalling</w:t>
      </w:r>
    </w:p>
    <w:p w:rsidR="00F91E10" w:rsidRDefault="00F91E10" w:rsidP="00F91E10">
      <w:pPr>
        <w:pStyle w:val="ListParagraph"/>
        <w:spacing w:after="0"/>
        <w:ind w:left="1440"/>
        <w:rPr>
          <w:lang w:val="nl-BE"/>
        </w:rPr>
      </w:pPr>
    </w:p>
    <w:p w:rsidR="00CC641D" w:rsidRPr="00F91E10" w:rsidRDefault="00CC641D" w:rsidP="00F91E10">
      <w:pPr>
        <w:pStyle w:val="ListParagraph"/>
        <w:numPr>
          <w:ilvl w:val="0"/>
          <w:numId w:val="20"/>
        </w:numPr>
        <w:spacing w:after="0"/>
        <w:rPr>
          <w:i/>
          <w:lang w:val="nl-BE"/>
        </w:rPr>
      </w:pPr>
      <w:r w:rsidRPr="00F91E10">
        <w:rPr>
          <w:i/>
          <w:lang w:val="nl-BE"/>
        </w:rPr>
        <w:t>% attest. code 474526</w:t>
      </w:r>
      <w:r w:rsidRPr="00F91E10">
        <w:rPr>
          <w:lang w:val="nl-BE"/>
        </w:rPr>
        <w:t>: aandeel vrouwen bij wie op het moment van de bevalling de code 474526 geattesteerd werd (</w:t>
      </w:r>
      <w:r w:rsidRPr="00F91E10">
        <w:rPr>
          <w:i/>
          <w:lang w:val="nl-BE"/>
        </w:rPr>
        <w:t>Effectieve aanwezigheid in de verloskamer aan het einde van de weeën en op het ogenblik van de uitdrijving en ten laste neming van de pasgeborene, in geval van risicozwangerschap, op voorschrift van de verloskundige, van een geneesheer voor kindergeneeskunde, per pasgeborene</w:t>
      </w:r>
      <w:r w:rsidRPr="00F91E10">
        <w:rPr>
          <w:lang w:val="nl-BE"/>
        </w:rPr>
        <w:t>)</w:t>
      </w:r>
      <w:r w:rsidR="00581A5F" w:rsidRPr="00F91E10">
        <w:rPr>
          <w:lang w:val="nl-BE"/>
        </w:rPr>
        <w:t>. Aangezien deze code door de gynaecoloog dient geattesteerd te worden, weerhouden we die code als indicatie voor risicozwangerschap ‘ex post’</w:t>
      </w:r>
    </w:p>
    <w:p w:rsidR="00F91E10" w:rsidRPr="00F91E10" w:rsidRDefault="00F91E10" w:rsidP="00F91E10">
      <w:pPr>
        <w:pStyle w:val="ListParagraph"/>
        <w:spacing w:after="0"/>
        <w:rPr>
          <w:i/>
          <w:lang w:val="nl-BE"/>
        </w:rPr>
      </w:pPr>
    </w:p>
    <w:p w:rsidR="00CC641D" w:rsidRPr="00CC641D" w:rsidRDefault="00CC641D" w:rsidP="00CC641D">
      <w:pPr>
        <w:pStyle w:val="ListParagraph"/>
        <w:numPr>
          <w:ilvl w:val="0"/>
          <w:numId w:val="20"/>
        </w:numPr>
        <w:spacing w:after="0"/>
        <w:rPr>
          <w:i/>
          <w:lang w:val="nl-BE"/>
        </w:rPr>
      </w:pPr>
      <w:proofErr w:type="spellStart"/>
      <w:r w:rsidRPr="00CC641D">
        <w:rPr>
          <w:i/>
          <w:lang w:val="nl-BE"/>
        </w:rPr>
        <w:t>Gemidd</w:t>
      </w:r>
      <w:proofErr w:type="spellEnd"/>
      <w:r w:rsidRPr="00CC641D">
        <w:rPr>
          <w:i/>
          <w:lang w:val="nl-BE"/>
        </w:rPr>
        <w:t>. verblijfsduur (GVD)</w:t>
      </w:r>
      <w:r>
        <w:rPr>
          <w:i/>
          <w:lang w:val="nl-BE"/>
        </w:rPr>
        <w:t xml:space="preserve">: </w:t>
      </w:r>
      <w:r>
        <w:rPr>
          <w:lang w:val="nl-BE"/>
        </w:rPr>
        <w:t>gemiddelde verblijfsduur, ongeacht het type bevalling, per materniteit (periode tussen dag van opname en dag van ontslag)</w:t>
      </w:r>
    </w:p>
    <w:p w:rsidR="00CC641D" w:rsidRPr="00F91E10" w:rsidRDefault="00CC641D" w:rsidP="00CC641D">
      <w:pPr>
        <w:pStyle w:val="ListParagraph"/>
        <w:numPr>
          <w:ilvl w:val="0"/>
          <w:numId w:val="20"/>
        </w:numPr>
        <w:spacing w:after="0"/>
        <w:rPr>
          <w:i/>
          <w:lang w:val="nl-BE"/>
        </w:rPr>
      </w:pPr>
      <w:r w:rsidRPr="00CC641D">
        <w:rPr>
          <w:i/>
          <w:lang w:val="nl-BE"/>
        </w:rPr>
        <w:lastRenderedPageBreak/>
        <w:t>Mediaan verblijf</w:t>
      </w:r>
      <w:r>
        <w:rPr>
          <w:lang w:val="nl-BE"/>
        </w:rPr>
        <w:t xml:space="preserve">: </w:t>
      </w:r>
      <w:r w:rsidR="00347D53">
        <w:rPr>
          <w:lang w:val="nl-BE"/>
        </w:rPr>
        <w:t xml:space="preserve">mediaan </w:t>
      </w:r>
      <w:r w:rsidR="00924F10">
        <w:rPr>
          <w:lang w:val="nl-BE"/>
        </w:rPr>
        <w:t>van de verblijfsduur per materniteit</w:t>
      </w:r>
      <w:r w:rsidR="00347D53">
        <w:rPr>
          <w:lang w:val="nl-BE"/>
        </w:rPr>
        <w:t>, ongeacht het type bevalling</w:t>
      </w:r>
    </w:p>
    <w:p w:rsidR="00F91E10" w:rsidRPr="00347D53" w:rsidRDefault="00F91E10" w:rsidP="00F91E10">
      <w:pPr>
        <w:pStyle w:val="ListParagraph"/>
        <w:spacing w:after="0"/>
        <w:rPr>
          <w:i/>
          <w:lang w:val="nl-BE"/>
        </w:rPr>
      </w:pPr>
    </w:p>
    <w:p w:rsidR="00347D53" w:rsidRPr="00F91E10" w:rsidRDefault="00347D53" w:rsidP="00347D53">
      <w:pPr>
        <w:pStyle w:val="ListParagraph"/>
        <w:numPr>
          <w:ilvl w:val="0"/>
          <w:numId w:val="20"/>
        </w:numPr>
        <w:spacing w:after="0"/>
        <w:rPr>
          <w:i/>
          <w:lang w:val="nl-BE"/>
        </w:rPr>
      </w:pPr>
      <w:r w:rsidRPr="00347D53">
        <w:rPr>
          <w:i/>
          <w:lang w:val="nl-BE"/>
        </w:rPr>
        <w:t xml:space="preserve">GVD vaginale </w:t>
      </w:r>
      <w:proofErr w:type="spellStart"/>
      <w:r w:rsidRPr="00347D53">
        <w:rPr>
          <w:i/>
          <w:lang w:val="nl-BE"/>
        </w:rPr>
        <w:t>bev</w:t>
      </w:r>
      <w:proofErr w:type="spellEnd"/>
      <w:r w:rsidRPr="00347D53">
        <w:rPr>
          <w:i/>
          <w:lang w:val="nl-BE"/>
        </w:rPr>
        <w:t>.</w:t>
      </w:r>
      <w:r>
        <w:rPr>
          <w:i/>
          <w:lang w:val="nl-BE"/>
        </w:rPr>
        <w:t xml:space="preserve">: </w:t>
      </w:r>
      <w:r>
        <w:rPr>
          <w:lang w:val="nl-BE"/>
        </w:rPr>
        <w:t>gemiddelde verblijfsduur voor de vaginale bevallingen</w:t>
      </w:r>
    </w:p>
    <w:p w:rsidR="00F91E10" w:rsidRPr="00F91E10" w:rsidRDefault="00F91E10" w:rsidP="00F91E10">
      <w:pPr>
        <w:spacing w:after="0"/>
        <w:rPr>
          <w:i/>
          <w:lang w:val="nl-BE"/>
        </w:rPr>
      </w:pPr>
    </w:p>
    <w:p w:rsidR="00347D53" w:rsidRPr="00347D53" w:rsidRDefault="00347D53" w:rsidP="00347D53">
      <w:pPr>
        <w:pStyle w:val="ListParagraph"/>
        <w:numPr>
          <w:ilvl w:val="0"/>
          <w:numId w:val="20"/>
        </w:numPr>
        <w:spacing w:after="0"/>
        <w:rPr>
          <w:i/>
          <w:lang w:val="nl-BE"/>
        </w:rPr>
      </w:pPr>
      <w:r w:rsidRPr="00347D53">
        <w:rPr>
          <w:i/>
          <w:lang w:val="nl-BE"/>
        </w:rPr>
        <w:t xml:space="preserve">GVD </w:t>
      </w:r>
      <w:proofErr w:type="spellStart"/>
      <w:r w:rsidRPr="00347D53">
        <w:rPr>
          <w:i/>
          <w:lang w:val="nl-BE"/>
        </w:rPr>
        <w:t>keizersn</w:t>
      </w:r>
      <w:proofErr w:type="spellEnd"/>
      <w:r w:rsidRPr="00347D53">
        <w:rPr>
          <w:i/>
          <w:lang w:val="nl-BE"/>
        </w:rPr>
        <w:t>.</w:t>
      </w:r>
      <w:r>
        <w:rPr>
          <w:i/>
          <w:lang w:val="nl-BE"/>
        </w:rPr>
        <w:t xml:space="preserve">: </w:t>
      </w:r>
      <w:r>
        <w:rPr>
          <w:lang w:val="nl-BE"/>
        </w:rPr>
        <w:t>gemiddelde verblijfsduur voor bevallingen via keizersnede</w:t>
      </w:r>
    </w:p>
    <w:p w:rsidR="00CC641D" w:rsidRDefault="00CC641D" w:rsidP="000E2BDA">
      <w:pPr>
        <w:spacing w:after="0"/>
        <w:rPr>
          <w:lang w:val="nl-BE"/>
        </w:rPr>
      </w:pPr>
    </w:p>
    <w:p w:rsidR="00347D53" w:rsidRDefault="00347D53" w:rsidP="00347D53">
      <w:pPr>
        <w:spacing w:after="0"/>
        <w:ind w:left="709" w:hanging="709"/>
        <w:rPr>
          <w:lang w:val="nl-BE"/>
        </w:rPr>
      </w:pPr>
      <w:r>
        <w:rPr>
          <w:lang w:val="nl-BE"/>
        </w:rPr>
        <w:t>2.5.</w:t>
      </w:r>
      <w:r>
        <w:rPr>
          <w:lang w:val="nl-BE"/>
        </w:rPr>
        <w:tab/>
      </w:r>
      <w:r w:rsidRPr="00347D53">
        <w:rPr>
          <w:u w:val="single"/>
          <w:lang w:val="nl-BE"/>
        </w:rPr>
        <w:t>Bijlage 5 - Bevallingen 2011 per instelling - bevalling na normale zwangerschap - kenmerken van de patiëntes</w:t>
      </w:r>
    </w:p>
    <w:p w:rsidR="00CC641D" w:rsidRDefault="00CC641D" w:rsidP="000E2BDA">
      <w:pPr>
        <w:spacing w:after="0"/>
        <w:rPr>
          <w:lang w:val="nl-BE"/>
        </w:rPr>
      </w:pPr>
    </w:p>
    <w:p w:rsidR="00347D53" w:rsidRDefault="00347D53" w:rsidP="000E2BDA">
      <w:pPr>
        <w:spacing w:after="0"/>
        <w:rPr>
          <w:lang w:val="nl-BE"/>
        </w:rPr>
      </w:pPr>
      <w:r>
        <w:rPr>
          <w:lang w:val="nl-BE"/>
        </w:rPr>
        <w:t>Bijlage 5 geeft dezelfde informatie als bijlage 4, maar dan enkel voor de patiëntes waarvan de zwangerschap als normaal gecatalogeerd werd, zijnde de patiënte:</w:t>
      </w:r>
    </w:p>
    <w:p w:rsidR="00347D53" w:rsidRDefault="00347D53" w:rsidP="00347D53">
      <w:pPr>
        <w:pStyle w:val="ListParagraph"/>
        <w:numPr>
          <w:ilvl w:val="0"/>
          <w:numId w:val="21"/>
        </w:numPr>
        <w:spacing w:after="0"/>
        <w:rPr>
          <w:lang w:val="nl-BE"/>
        </w:rPr>
      </w:pPr>
      <w:r>
        <w:rPr>
          <w:lang w:val="nl-BE"/>
        </w:rPr>
        <w:t>Genoot niet van de voorkeurregeling</w:t>
      </w:r>
    </w:p>
    <w:p w:rsidR="00347D53" w:rsidRDefault="00347D53" w:rsidP="00347D53">
      <w:pPr>
        <w:pStyle w:val="ListParagraph"/>
        <w:numPr>
          <w:ilvl w:val="0"/>
          <w:numId w:val="21"/>
        </w:numPr>
        <w:spacing w:after="0"/>
        <w:rPr>
          <w:lang w:val="nl-BE"/>
        </w:rPr>
      </w:pPr>
      <w:r>
        <w:rPr>
          <w:lang w:val="nl-BE"/>
        </w:rPr>
        <w:t>Was ouder dan 16 jaar en jonger dan 40</w:t>
      </w:r>
    </w:p>
    <w:p w:rsidR="00347D53" w:rsidRDefault="00347D53" w:rsidP="00347D53">
      <w:pPr>
        <w:pStyle w:val="ListParagraph"/>
        <w:numPr>
          <w:ilvl w:val="0"/>
          <w:numId w:val="21"/>
        </w:numPr>
        <w:spacing w:after="0"/>
        <w:rPr>
          <w:lang w:val="nl-BE"/>
        </w:rPr>
      </w:pPr>
      <w:r>
        <w:rPr>
          <w:lang w:val="nl-BE"/>
        </w:rPr>
        <w:t>Had geen of minder dan 90 DDD medicatie voor chronische aandoeningen voorgeschreven gekregen tijdens de 280 dagen voorafgaand aan de zwangerschap.</w:t>
      </w:r>
    </w:p>
    <w:p w:rsidR="00347D53" w:rsidRDefault="00347D53" w:rsidP="00347D53">
      <w:pPr>
        <w:spacing w:after="0"/>
        <w:rPr>
          <w:lang w:val="nl-BE"/>
        </w:rPr>
      </w:pPr>
    </w:p>
    <w:p w:rsidR="00347D53" w:rsidRPr="00347D53" w:rsidRDefault="00347D53" w:rsidP="00347D53">
      <w:pPr>
        <w:spacing w:after="0"/>
        <w:rPr>
          <w:u w:val="single"/>
          <w:lang w:val="nl-BE"/>
        </w:rPr>
      </w:pPr>
      <w:r>
        <w:rPr>
          <w:lang w:val="nl-BE"/>
        </w:rPr>
        <w:t>2.6.</w:t>
      </w:r>
      <w:r>
        <w:rPr>
          <w:lang w:val="nl-BE"/>
        </w:rPr>
        <w:tab/>
      </w:r>
      <w:r w:rsidRPr="00347D53">
        <w:rPr>
          <w:u w:val="single"/>
          <w:lang w:val="nl-BE"/>
        </w:rPr>
        <w:t>Bijlage 6 - Bevallingen 2011 per instelling - risicozwangerschappen - kenmerken van de patiëntes</w:t>
      </w:r>
    </w:p>
    <w:p w:rsidR="00347D53" w:rsidRDefault="00347D53" w:rsidP="000E2BDA">
      <w:pPr>
        <w:spacing w:after="0"/>
        <w:rPr>
          <w:lang w:val="nl-BE"/>
        </w:rPr>
      </w:pPr>
    </w:p>
    <w:p w:rsidR="00347D53" w:rsidRDefault="00347D53" w:rsidP="00347D53">
      <w:pPr>
        <w:spacing w:after="0"/>
        <w:rPr>
          <w:lang w:val="nl-BE"/>
        </w:rPr>
      </w:pPr>
      <w:r>
        <w:rPr>
          <w:lang w:val="nl-BE"/>
        </w:rPr>
        <w:t xml:space="preserve">Bijlage 6 geeft dezelfde informatie als bijlage 4, maar dan enkel voor de patiëntes waarvan de zwangerschap als </w:t>
      </w:r>
      <w:r w:rsidR="00967EB3">
        <w:rPr>
          <w:lang w:val="nl-BE"/>
        </w:rPr>
        <w:t>een risicozwangerschap</w:t>
      </w:r>
      <w:r>
        <w:rPr>
          <w:lang w:val="nl-BE"/>
        </w:rPr>
        <w:t xml:space="preserve"> gecatalogeerd werd, zijnde de patiënte:</w:t>
      </w:r>
    </w:p>
    <w:p w:rsidR="00967EB3" w:rsidRDefault="00967EB3" w:rsidP="00347D53">
      <w:pPr>
        <w:spacing w:after="0"/>
        <w:rPr>
          <w:lang w:val="nl-BE"/>
        </w:rPr>
      </w:pPr>
    </w:p>
    <w:p w:rsidR="00347D53" w:rsidRDefault="00347D53" w:rsidP="00347D53">
      <w:pPr>
        <w:pStyle w:val="ListParagraph"/>
        <w:numPr>
          <w:ilvl w:val="0"/>
          <w:numId w:val="21"/>
        </w:numPr>
        <w:spacing w:after="0"/>
        <w:rPr>
          <w:lang w:val="nl-BE"/>
        </w:rPr>
      </w:pPr>
      <w:r>
        <w:rPr>
          <w:lang w:val="nl-BE"/>
        </w:rPr>
        <w:t>Genoot van de voorkeurregeling</w:t>
      </w:r>
    </w:p>
    <w:p w:rsidR="00347D53" w:rsidRDefault="00347D53" w:rsidP="00347D53">
      <w:pPr>
        <w:pStyle w:val="ListParagraph"/>
        <w:numPr>
          <w:ilvl w:val="0"/>
          <w:numId w:val="21"/>
        </w:numPr>
        <w:spacing w:after="0"/>
        <w:rPr>
          <w:lang w:val="nl-BE"/>
        </w:rPr>
      </w:pPr>
      <w:r>
        <w:rPr>
          <w:lang w:val="nl-BE"/>
        </w:rPr>
        <w:t>En/of was jonger dan 16 jaar of ouder dan 40</w:t>
      </w:r>
    </w:p>
    <w:p w:rsidR="00347D53" w:rsidRDefault="00967EB3" w:rsidP="00347D53">
      <w:pPr>
        <w:pStyle w:val="ListParagraph"/>
        <w:numPr>
          <w:ilvl w:val="0"/>
          <w:numId w:val="21"/>
        </w:numPr>
        <w:spacing w:after="0"/>
        <w:rPr>
          <w:lang w:val="nl-BE"/>
        </w:rPr>
      </w:pPr>
      <w:r>
        <w:rPr>
          <w:lang w:val="nl-BE"/>
        </w:rPr>
        <w:t>En/of h</w:t>
      </w:r>
      <w:r w:rsidR="00347D53">
        <w:rPr>
          <w:lang w:val="nl-BE"/>
        </w:rPr>
        <w:t>ad meer dan 90 DDD medicatie voor chronische aandoeningen voorgeschreven gekregen tijdens de 280 dagen voorafgaand aan de zwangerschap.</w:t>
      </w:r>
    </w:p>
    <w:p w:rsidR="00347D53" w:rsidRDefault="00347D53" w:rsidP="000E2BDA">
      <w:pPr>
        <w:spacing w:after="0"/>
        <w:rPr>
          <w:lang w:val="nl-BE"/>
        </w:rPr>
      </w:pPr>
    </w:p>
    <w:p w:rsidR="00967EB3" w:rsidRDefault="00967EB3" w:rsidP="00967EB3">
      <w:pPr>
        <w:spacing w:after="0"/>
        <w:ind w:left="709" w:hanging="709"/>
        <w:rPr>
          <w:u w:val="single"/>
          <w:lang w:val="nl-BE"/>
        </w:rPr>
      </w:pPr>
      <w:r>
        <w:rPr>
          <w:lang w:val="nl-BE"/>
        </w:rPr>
        <w:t>2.7.</w:t>
      </w:r>
      <w:r>
        <w:rPr>
          <w:lang w:val="nl-BE"/>
        </w:rPr>
        <w:tab/>
      </w:r>
      <w:r w:rsidRPr="00967EB3">
        <w:rPr>
          <w:u w:val="single"/>
          <w:lang w:val="nl-BE"/>
        </w:rPr>
        <w:t>Bijlage 7 - Resultaten 2011 bevallingen per instelling - rangschikking op basis van het aandeel keizersneden bij de patiëntes gekenmerkt door een 'normale' zwangerschap</w:t>
      </w:r>
    </w:p>
    <w:p w:rsidR="00967EB3" w:rsidRDefault="00967EB3" w:rsidP="00967EB3">
      <w:pPr>
        <w:spacing w:after="0"/>
        <w:rPr>
          <w:lang w:val="nl-BE"/>
        </w:rPr>
      </w:pPr>
    </w:p>
    <w:p w:rsidR="00967EB3" w:rsidRDefault="00967EB3" w:rsidP="00967EB3">
      <w:pPr>
        <w:spacing w:after="0"/>
        <w:rPr>
          <w:lang w:val="nl-BE"/>
        </w:rPr>
      </w:pPr>
      <w:r>
        <w:rPr>
          <w:lang w:val="nl-BE"/>
        </w:rPr>
        <w:t xml:space="preserve">Bijlage 7 rangschikt de </w:t>
      </w:r>
      <w:proofErr w:type="spellStart"/>
      <w:r>
        <w:rPr>
          <w:lang w:val="nl-BE"/>
        </w:rPr>
        <w:t>materniteiten</w:t>
      </w:r>
      <w:proofErr w:type="spellEnd"/>
      <w:r>
        <w:rPr>
          <w:lang w:val="nl-BE"/>
        </w:rPr>
        <w:t xml:space="preserve"> op basis van het aandeel keizersneden uitgevoerd na een normale zwangerschap en vergelijkt de profielen per materniteit tussen de bevallingen na normale zwangerschap, bevallingen na risicozwangerschap en het totaal aantal bevallingen.</w:t>
      </w:r>
    </w:p>
    <w:p w:rsidR="00967EB3" w:rsidRDefault="00967EB3" w:rsidP="00967EB3">
      <w:pPr>
        <w:spacing w:after="0"/>
        <w:rPr>
          <w:lang w:val="nl-BE"/>
        </w:rPr>
      </w:pPr>
    </w:p>
    <w:p w:rsidR="00967EB3" w:rsidRDefault="00967EB3" w:rsidP="00967EB3">
      <w:pPr>
        <w:spacing w:after="0"/>
        <w:rPr>
          <w:lang w:val="nl-BE"/>
        </w:rPr>
      </w:pPr>
      <w:r>
        <w:rPr>
          <w:lang w:val="nl-BE"/>
        </w:rPr>
        <w:t>De laatste zes kolommen geven een aantal indicatoren waar de kenmerken voor patiëntes met risicozwangerschappen vergeleken worden met die van patiëntes met normale zwangerschap binnen de</w:t>
      </w:r>
      <w:r w:rsidR="00F20702">
        <w:rPr>
          <w:lang w:val="nl-BE"/>
        </w:rPr>
        <w:t>zelfde</w:t>
      </w:r>
      <w:r>
        <w:rPr>
          <w:lang w:val="nl-BE"/>
        </w:rPr>
        <w:t xml:space="preserve"> materniteit:</w:t>
      </w:r>
    </w:p>
    <w:p w:rsidR="00967EB3" w:rsidRDefault="00967EB3" w:rsidP="00967EB3">
      <w:pPr>
        <w:pStyle w:val="ListParagraph"/>
        <w:numPr>
          <w:ilvl w:val="0"/>
          <w:numId w:val="22"/>
        </w:numPr>
        <w:spacing w:after="0"/>
        <w:rPr>
          <w:lang w:val="nl-BE"/>
        </w:rPr>
      </w:pPr>
      <w:r w:rsidRPr="000444BB">
        <w:rPr>
          <w:i/>
          <w:lang w:val="nl-BE"/>
        </w:rPr>
        <w:t xml:space="preserve">Ratio </w:t>
      </w:r>
      <w:proofErr w:type="spellStart"/>
      <w:r w:rsidRPr="000444BB">
        <w:rPr>
          <w:i/>
          <w:lang w:val="nl-BE"/>
        </w:rPr>
        <w:t>keizersn</w:t>
      </w:r>
      <w:proofErr w:type="spellEnd"/>
      <w:r w:rsidRPr="000444BB">
        <w:rPr>
          <w:i/>
          <w:lang w:val="nl-BE"/>
        </w:rPr>
        <w:t xml:space="preserve">. </w:t>
      </w:r>
      <w:proofErr w:type="spellStart"/>
      <w:r w:rsidR="00F20702">
        <w:rPr>
          <w:i/>
          <w:lang w:val="nl-BE"/>
        </w:rPr>
        <w:t>r</w:t>
      </w:r>
      <w:r w:rsidRPr="000444BB">
        <w:rPr>
          <w:i/>
          <w:lang w:val="nl-BE"/>
        </w:rPr>
        <w:t>isicozw</w:t>
      </w:r>
      <w:proofErr w:type="spellEnd"/>
      <w:r w:rsidRPr="000444BB">
        <w:rPr>
          <w:i/>
          <w:lang w:val="nl-BE"/>
        </w:rPr>
        <w:t xml:space="preserve">. </w:t>
      </w:r>
      <w:r w:rsidR="00F20702">
        <w:rPr>
          <w:i/>
          <w:lang w:val="nl-BE"/>
        </w:rPr>
        <w:t>v</w:t>
      </w:r>
      <w:r w:rsidRPr="000444BB">
        <w:rPr>
          <w:i/>
          <w:lang w:val="nl-BE"/>
        </w:rPr>
        <w:t xml:space="preserve">s. </w:t>
      </w:r>
      <w:r w:rsidR="00F20702">
        <w:rPr>
          <w:i/>
          <w:lang w:val="nl-BE"/>
        </w:rPr>
        <w:t>n</w:t>
      </w:r>
      <w:r w:rsidRPr="000444BB">
        <w:rPr>
          <w:i/>
          <w:lang w:val="nl-BE"/>
        </w:rPr>
        <w:t xml:space="preserve">ormale </w:t>
      </w:r>
      <w:proofErr w:type="spellStart"/>
      <w:r w:rsidRPr="000444BB">
        <w:rPr>
          <w:i/>
          <w:lang w:val="nl-BE"/>
        </w:rPr>
        <w:t>zw</w:t>
      </w:r>
      <w:proofErr w:type="spellEnd"/>
      <w:r w:rsidRPr="000444BB">
        <w:rPr>
          <w:i/>
          <w:lang w:val="nl-BE"/>
        </w:rPr>
        <w:t>.:</w:t>
      </w:r>
      <w:r>
        <w:rPr>
          <w:lang w:val="nl-BE"/>
        </w:rPr>
        <w:t xml:space="preserve"> hier wordt het aandeel keizersneden na risicozwangerschap vergeleken met het aandeel keizersneden na een normale zwangerschap. </w:t>
      </w:r>
      <w:proofErr w:type="spellStart"/>
      <w:r w:rsidR="002F0B2E">
        <w:rPr>
          <w:lang w:val="nl-BE"/>
        </w:rPr>
        <w:t>Vb</w:t>
      </w:r>
      <w:proofErr w:type="spellEnd"/>
      <w:r w:rsidR="002F0B2E">
        <w:rPr>
          <w:lang w:val="nl-BE"/>
        </w:rPr>
        <w:t xml:space="preserve"> (eerste lijn van de tabel) : z</w:t>
      </w:r>
      <w:r w:rsidR="00CF160A">
        <w:rPr>
          <w:lang w:val="nl-BE"/>
        </w:rPr>
        <w:t>o worden i</w:t>
      </w:r>
      <w:r>
        <w:rPr>
          <w:lang w:val="nl-BE"/>
        </w:rPr>
        <w:t xml:space="preserve">n St-Vincent </w:t>
      </w:r>
      <w:proofErr w:type="spellStart"/>
      <w:r>
        <w:rPr>
          <w:lang w:val="nl-BE"/>
        </w:rPr>
        <w:t>Ste</w:t>
      </w:r>
      <w:proofErr w:type="spellEnd"/>
      <w:r>
        <w:rPr>
          <w:lang w:val="nl-BE"/>
        </w:rPr>
        <w:t>-Elisabeth Liège bij patiëntes met een risicozwangerschap 8% meer keizersneden vastgesteld dan bij patiëntes met een normale zwangerschap</w:t>
      </w:r>
    </w:p>
    <w:p w:rsidR="00967EB3" w:rsidRDefault="00967EB3" w:rsidP="00967EB3">
      <w:pPr>
        <w:pStyle w:val="ListParagraph"/>
        <w:numPr>
          <w:ilvl w:val="0"/>
          <w:numId w:val="22"/>
        </w:numPr>
        <w:spacing w:after="0"/>
        <w:rPr>
          <w:lang w:val="nl-BE"/>
        </w:rPr>
      </w:pPr>
      <w:r w:rsidRPr="000444BB">
        <w:rPr>
          <w:i/>
          <w:lang w:val="nl-BE"/>
        </w:rPr>
        <w:lastRenderedPageBreak/>
        <w:t xml:space="preserve">Aandeel </w:t>
      </w:r>
      <w:proofErr w:type="spellStart"/>
      <w:r w:rsidRPr="000444BB">
        <w:rPr>
          <w:i/>
          <w:lang w:val="nl-BE"/>
        </w:rPr>
        <w:t>risicozw</w:t>
      </w:r>
      <w:proofErr w:type="spellEnd"/>
      <w:r w:rsidRPr="000444BB">
        <w:rPr>
          <w:i/>
          <w:lang w:val="nl-BE"/>
        </w:rPr>
        <w:t xml:space="preserve">. in totaal </w:t>
      </w:r>
      <w:proofErr w:type="spellStart"/>
      <w:r w:rsidRPr="000444BB">
        <w:rPr>
          <w:i/>
          <w:lang w:val="nl-BE"/>
        </w:rPr>
        <w:t>aant</w:t>
      </w:r>
      <w:proofErr w:type="spellEnd"/>
      <w:r w:rsidRPr="000444BB">
        <w:rPr>
          <w:i/>
          <w:lang w:val="nl-BE"/>
        </w:rPr>
        <w:t xml:space="preserve">. </w:t>
      </w:r>
      <w:r w:rsidR="00F20702">
        <w:rPr>
          <w:i/>
          <w:lang w:val="nl-BE"/>
        </w:rPr>
        <w:t>b</w:t>
      </w:r>
      <w:r w:rsidRPr="000444BB">
        <w:rPr>
          <w:i/>
          <w:lang w:val="nl-BE"/>
        </w:rPr>
        <w:t>evallingen</w:t>
      </w:r>
      <w:r w:rsidR="000444BB" w:rsidRPr="000444BB">
        <w:rPr>
          <w:i/>
          <w:lang w:val="nl-BE"/>
        </w:rPr>
        <w:t>:</w:t>
      </w:r>
      <w:r w:rsidR="000444BB">
        <w:rPr>
          <w:lang w:val="nl-BE"/>
        </w:rPr>
        <w:t xml:space="preserve"> deze </w:t>
      </w:r>
      <w:r w:rsidR="0020556F">
        <w:rPr>
          <w:lang w:val="nl-BE"/>
        </w:rPr>
        <w:t xml:space="preserve">kolom </w:t>
      </w:r>
      <w:r w:rsidR="000444BB">
        <w:rPr>
          <w:lang w:val="nl-BE"/>
        </w:rPr>
        <w:t xml:space="preserve">geeft per materniteit het aandeel bevallingen aan dat volgt op een risicozwangerschap. </w:t>
      </w:r>
      <w:proofErr w:type="spellStart"/>
      <w:r w:rsidR="002F0B2E">
        <w:rPr>
          <w:lang w:val="nl-BE"/>
        </w:rPr>
        <w:t>Vb</w:t>
      </w:r>
      <w:proofErr w:type="spellEnd"/>
      <w:r w:rsidR="002F0B2E">
        <w:rPr>
          <w:lang w:val="nl-BE"/>
        </w:rPr>
        <w:t xml:space="preserve"> (eerste lijn van de tabel) : zo </w:t>
      </w:r>
      <w:r w:rsidR="00CF160A">
        <w:rPr>
          <w:lang w:val="nl-BE"/>
        </w:rPr>
        <w:t>hebben in</w:t>
      </w:r>
      <w:r w:rsidR="000444BB">
        <w:rPr>
          <w:lang w:val="nl-BE"/>
        </w:rPr>
        <w:t xml:space="preserve"> St-Vincent </w:t>
      </w:r>
      <w:proofErr w:type="spellStart"/>
      <w:r w:rsidR="000444BB">
        <w:rPr>
          <w:lang w:val="nl-BE"/>
        </w:rPr>
        <w:t>Ste</w:t>
      </w:r>
      <w:proofErr w:type="spellEnd"/>
      <w:r w:rsidR="000444BB">
        <w:rPr>
          <w:lang w:val="nl-BE"/>
        </w:rPr>
        <w:t>-Elisabeth 30% van de bevallen vrouwen een risicozwangerschap achter de rug.</w:t>
      </w:r>
    </w:p>
    <w:p w:rsidR="000444BB" w:rsidRDefault="000444BB" w:rsidP="000444BB">
      <w:pPr>
        <w:pStyle w:val="ListParagraph"/>
        <w:numPr>
          <w:ilvl w:val="0"/>
          <w:numId w:val="22"/>
        </w:numPr>
        <w:spacing w:after="0"/>
        <w:rPr>
          <w:lang w:val="nl-BE"/>
        </w:rPr>
      </w:pPr>
      <w:r w:rsidRPr="000444BB">
        <w:rPr>
          <w:i/>
          <w:lang w:val="nl-BE"/>
        </w:rPr>
        <w:t xml:space="preserve">Ratio attestering 474526 bij </w:t>
      </w:r>
      <w:proofErr w:type="spellStart"/>
      <w:r w:rsidRPr="000444BB">
        <w:rPr>
          <w:i/>
          <w:lang w:val="nl-BE"/>
        </w:rPr>
        <w:t>risicozw.vs</w:t>
      </w:r>
      <w:proofErr w:type="spellEnd"/>
      <w:r w:rsidRPr="000444BB">
        <w:rPr>
          <w:i/>
          <w:lang w:val="nl-BE"/>
        </w:rPr>
        <w:t xml:space="preserve">. normale </w:t>
      </w:r>
      <w:proofErr w:type="spellStart"/>
      <w:r w:rsidRPr="000444BB">
        <w:rPr>
          <w:i/>
          <w:lang w:val="nl-BE"/>
        </w:rPr>
        <w:t>zw</w:t>
      </w:r>
      <w:proofErr w:type="spellEnd"/>
      <w:r w:rsidRPr="000444BB">
        <w:rPr>
          <w:lang w:val="nl-BE"/>
        </w:rPr>
        <w:t>.</w:t>
      </w:r>
      <w:r>
        <w:rPr>
          <w:lang w:val="nl-BE"/>
        </w:rPr>
        <w:t xml:space="preserve"> </w:t>
      </w:r>
      <w:r w:rsidR="0020556F">
        <w:rPr>
          <w:lang w:val="nl-BE"/>
        </w:rPr>
        <w:t>toont</w:t>
      </w:r>
      <w:r>
        <w:rPr>
          <w:lang w:val="nl-BE"/>
        </w:rPr>
        <w:t xml:space="preserve"> de verhouding attestering code 474526 bij risicozwangerschappen in vergelijking met de normale zwangerschappen. </w:t>
      </w:r>
      <w:proofErr w:type="spellStart"/>
      <w:r w:rsidR="002F0B2E">
        <w:rPr>
          <w:lang w:val="nl-BE"/>
        </w:rPr>
        <w:t>Vb</w:t>
      </w:r>
      <w:proofErr w:type="spellEnd"/>
      <w:r w:rsidR="002F0B2E">
        <w:rPr>
          <w:lang w:val="nl-BE"/>
        </w:rPr>
        <w:t xml:space="preserve"> (eerste lijn van de tabel) : zo worden </w:t>
      </w:r>
      <w:r w:rsidR="00CF160A">
        <w:rPr>
          <w:lang w:val="nl-BE"/>
        </w:rPr>
        <w:t>i</w:t>
      </w:r>
      <w:r>
        <w:rPr>
          <w:lang w:val="nl-BE"/>
        </w:rPr>
        <w:t xml:space="preserve">n St-Vincent </w:t>
      </w:r>
      <w:proofErr w:type="spellStart"/>
      <w:r>
        <w:rPr>
          <w:lang w:val="nl-BE"/>
        </w:rPr>
        <w:t>Ste</w:t>
      </w:r>
      <w:proofErr w:type="spellEnd"/>
      <w:r>
        <w:rPr>
          <w:lang w:val="nl-BE"/>
        </w:rPr>
        <w:t>-Elisabeth na een risicozwangerschap 10% meer de code 4764526 geattesteerd dan bij een bevalling na een normale zwangerschap</w:t>
      </w:r>
      <w:r w:rsidR="0020556F">
        <w:rPr>
          <w:lang w:val="nl-BE"/>
        </w:rPr>
        <w:t>.</w:t>
      </w:r>
    </w:p>
    <w:p w:rsidR="000444BB" w:rsidRPr="002F0B2E" w:rsidRDefault="000444BB" w:rsidP="000444BB">
      <w:pPr>
        <w:pStyle w:val="ListParagraph"/>
        <w:numPr>
          <w:ilvl w:val="0"/>
          <w:numId w:val="22"/>
        </w:numPr>
        <w:spacing w:after="0"/>
        <w:rPr>
          <w:i/>
          <w:lang w:val="nl-BE"/>
        </w:rPr>
      </w:pPr>
      <w:r w:rsidRPr="000444BB">
        <w:rPr>
          <w:i/>
          <w:lang w:val="nl-BE"/>
        </w:rPr>
        <w:t xml:space="preserve">Ratio gem. leeftijd </w:t>
      </w:r>
      <w:proofErr w:type="spellStart"/>
      <w:r w:rsidRPr="000444BB">
        <w:rPr>
          <w:i/>
          <w:lang w:val="nl-BE"/>
        </w:rPr>
        <w:t>risicozw</w:t>
      </w:r>
      <w:proofErr w:type="spellEnd"/>
      <w:r w:rsidRPr="000444BB">
        <w:rPr>
          <w:i/>
          <w:lang w:val="nl-BE"/>
        </w:rPr>
        <w:t xml:space="preserve">. vs. normale </w:t>
      </w:r>
      <w:proofErr w:type="spellStart"/>
      <w:r w:rsidRPr="000444BB">
        <w:rPr>
          <w:i/>
          <w:lang w:val="nl-BE"/>
        </w:rPr>
        <w:t>zw</w:t>
      </w:r>
      <w:proofErr w:type="spellEnd"/>
      <w:r w:rsidRPr="000444BB">
        <w:rPr>
          <w:i/>
          <w:lang w:val="nl-BE"/>
        </w:rPr>
        <w:t xml:space="preserve">.: </w:t>
      </w:r>
      <w:r>
        <w:rPr>
          <w:lang w:val="nl-BE"/>
        </w:rPr>
        <w:t xml:space="preserve">deze ratio geeft de verhouding tussen de gemiddelde leeftijd bij bevalling na risicozwangerschap tegenover de leeftijd na normale zwangerschap. </w:t>
      </w:r>
      <w:proofErr w:type="spellStart"/>
      <w:r w:rsidR="002F0B2E">
        <w:rPr>
          <w:lang w:val="nl-BE"/>
        </w:rPr>
        <w:t>Vb</w:t>
      </w:r>
      <w:proofErr w:type="spellEnd"/>
      <w:r w:rsidR="002F0B2E">
        <w:rPr>
          <w:lang w:val="nl-BE"/>
        </w:rPr>
        <w:t xml:space="preserve"> (eerste lijn van de tabel) : zo is</w:t>
      </w:r>
      <w:r w:rsidR="00CF160A">
        <w:rPr>
          <w:lang w:val="nl-BE"/>
        </w:rPr>
        <w:t xml:space="preserve"> i</w:t>
      </w:r>
      <w:r>
        <w:rPr>
          <w:lang w:val="nl-BE"/>
        </w:rPr>
        <w:t xml:space="preserve">n St-Vincent </w:t>
      </w:r>
      <w:proofErr w:type="spellStart"/>
      <w:r>
        <w:rPr>
          <w:lang w:val="nl-BE"/>
        </w:rPr>
        <w:t>Ste</w:t>
      </w:r>
      <w:proofErr w:type="spellEnd"/>
      <w:r>
        <w:rPr>
          <w:lang w:val="nl-BE"/>
        </w:rPr>
        <w:t>-Elisabeth de gemiddelde leeftijd na risicozwangerschap 4% hoger dan bij normale zwangerschap.</w:t>
      </w:r>
    </w:p>
    <w:p w:rsidR="002F0B2E" w:rsidRPr="002F0B2E" w:rsidRDefault="002F0B2E" w:rsidP="002F0B2E">
      <w:pPr>
        <w:pStyle w:val="ListParagraph"/>
        <w:numPr>
          <w:ilvl w:val="0"/>
          <w:numId w:val="22"/>
        </w:numPr>
        <w:spacing w:after="0"/>
        <w:rPr>
          <w:i/>
          <w:lang w:val="nl-BE"/>
        </w:rPr>
      </w:pPr>
      <w:r w:rsidRPr="002F0B2E">
        <w:rPr>
          <w:i/>
          <w:lang w:val="nl-BE"/>
        </w:rPr>
        <w:t xml:space="preserve">Ratio GVD vaginale </w:t>
      </w:r>
      <w:proofErr w:type="spellStart"/>
      <w:r w:rsidRPr="002F0B2E">
        <w:rPr>
          <w:i/>
          <w:lang w:val="nl-BE"/>
        </w:rPr>
        <w:t>bev</w:t>
      </w:r>
      <w:proofErr w:type="spellEnd"/>
      <w:r w:rsidRPr="002F0B2E">
        <w:rPr>
          <w:i/>
          <w:lang w:val="nl-BE"/>
        </w:rPr>
        <w:t xml:space="preserve">. </w:t>
      </w:r>
      <w:proofErr w:type="spellStart"/>
      <w:r w:rsidRPr="002F0B2E">
        <w:rPr>
          <w:i/>
          <w:lang w:val="nl-BE"/>
        </w:rPr>
        <w:t>risicozw</w:t>
      </w:r>
      <w:proofErr w:type="spellEnd"/>
      <w:r w:rsidRPr="002F0B2E">
        <w:rPr>
          <w:i/>
          <w:lang w:val="nl-BE"/>
        </w:rPr>
        <w:t xml:space="preserve">. vs. normale </w:t>
      </w:r>
      <w:proofErr w:type="spellStart"/>
      <w:r w:rsidRPr="002F0B2E">
        <w:rPr>
          <w:i/>
          <w:lang w:val="nl-BE"/>
        </w:rPr>
        <w:t>zw</w:t>
      </w:r>
      <w:proofErr w:type="spellEnd"/>
      <w:r w:rsidRPr="002F0B2E">
        <w:rPr>
          <w:i/>
          <w:lang w:val="nl-BE"/>
        </w:rPr>
        <w:t>.</w:t>
      </w:r>
      <w:r>
        <w:rPr>
          <w:i/>
          <w:lang w:val="nl-BE"/>
        </w:rPr>
        <w:t>:</w:t>
      </w:r>
      <w:r>
        <w:rPr>
          <w:lang w:val="nl-BE"/>
        </w:rPr>
        <w:t xml:space="preserve"> hier wordt de verhouding gegeven tussen de gemiddelde verblijfsduur (GVD) na risicozwangerschap vs. normale zwangerschap, vastgesteld bij patiëntes die via vaginale weg bevallen.</w:t>
      </w:r>
      <w:r w:rsidRPr="002F0B2E">
        <w:rPr>
          <w:lang w:val="nl-BE"/>
        </w:rPr>
        <w:t xml:space="preserve"> </w:t>
      </w:r>
      <w:proofErr w:type="spellStart"/>
      <w:r>
        <w:rPr>
          <w:lang w:val="nl-BE"/>
        </w:rPr>
        <w:t>Vb</w:t>
      </w:r>
      <w:proofErr w:type="spellEnd"/>
      <w:r>
        <w:rPr>
          <w:lang w:val="nl-BE"/>
        </w:rPr>
        <w:t xml:space="preserve"> (eerste lijn van de tabel) : zo duurt in St-Vincent </w:t>
      </w:r>
      <w:proofErr w:type="spellStart"/>
      <w:r>
        <w:rPr>
          <w:lang w:val="nl-BE"/>
        </w:rPr>
        <w:t>Ste</w:t>
      </w:r>
      <w:proofErr w:type="spellEnd"/>
      <w:r>
        <w:rPr>
          <w:lang w:val="nl-BE"/>
        </w:rPr>
        <w:t>-Elisabeth de GVD na bevalling via vaginale weg na risicozwangerschap 12% langer dan de GVD voor normale zwangerschappen</w:t>
      </w:r>
    </w:p>
    <w:p w:rsidR="002F0B2E" w:rsidRPr="00532CA9" w:rsidRDefault="002F0B2E" w:rsidP="002F0B2E">
      <w:pPr>
        <w:pStyle w:val="ListParagraph"/>
        <w:numPr>
          <w:ilvl w:val="0"/>
          <w:numId w:val="22"/>
        </w:numPr>
        <w:spacing w:after="0"/>
        <w:rPr>
          <w:i/>
          <w:lang w:val="nl-BE"/>
        </w:rPr>
      </w:pPr>
      <w:r w:rsidRPr="002F0B2E">
        <w:rPr>
          <w:i/>
          <w:lang w:val="nl-BE"/>
        </w:rPr>
        <w:t xml:space="preserve">Ratio GVD </w:t>
      </w:r>
      <w:proofErr w:type="spellStart"/>
      <w:r w:rsidRPr="002F0B2E">
        <w:rPr>
          <w:i/>
          <w:lang w:val="nl-BE"/>
        </w:rPr>
        <w:t>keizersn</w:t>
      </w:r>
      <w:proofErr w:type="spellEnd"/>
      <w:r w:rsidRPr="002F0B2E">
        <w:rPr>
          <w:i/>
          <w:lang w:val="nl-BE"/>
        </w:rPr>
        <w:t xml:space="preserve">. </w:t>
      </w:r>
      <w:proofErr w:type="spellStart"/>
      <w:r w:rsidRPr="002F0B2E">
        <w:rPr>
          <w:i/>
          <w:lang w:val="nl-BE"/>
        </w:rPr>
        <w:t>risicozw</w:t>
      </w:r>
      <w:proofErr w:type="spellEnd"/>
      <w:r w:rsidRPr="002F0B2E">
        <w:rPr>
          <w:i/>
          <w:lang w:val="nl-BE"/>
        </w:rPr>
        <w:t xml:space="preserve">. vs. normale </w:t>
      </w:r>
      <w:proofErr w:type="spellStart"/>
      <w:r w:rsidRPr="002F0B2E">
        <w:rPr>
          <w:i/>
          <w:lang w:val="nl-BE"/>
        </w:rPr>
        <w:t>zw</w:t>
      </w:r>
      <w:proofErr w:type="spellEnd"/>
      <w:r w:rsidRPr="002F0B2E">
        <w:rPr>
          <w:i/>
          <w:lang w:val="nl-BE"/>
        </w:rPr>
        <w:t>.</w:t>
      </w:r>
      <w:r>
        <w:rPr>
          <w:lang w:val="nl-BE"/>
        </w:rPr>
        <w:t xml:space="preserve">: zelfde type indicator als de voorgaande, maar dan voor bevallingen via keizersneden. </w:t>
      </w:r>
      <w:proofErr w:type="spellStart"/>
      <w:r>
        <w:rPr>
          <w:lang w:val="nl-BE"/>
        </w:rPr>
        <w:t>Vb</w:t>
      </w:r>
      <w:proofErr w:type="spellEnd"/>
      <w:r>
        <w:rPr>
          <w:lang w:val="nl-BE"/>
        </w:rPr>
        <w:t xml:space="preserve"> (eerste lijn van de tabel) : in St-Vincent</w:t>
      </w:r>
      <w:r w:rsidR="00532CA9">
        <w:rPr>
          <w:lang w:val="nl-BE"/>
        </w:rPr>
        <w:t xml:space="preserve"> duurt de GVD van bevallingen via keizersnede 35% langer bij patiëntes met risicozwangerschap</w:t>
      </w:r>
      <w:r w:rsidR="00F20702">
        <w:rPr>
          <w:lang w:val="nl-BE"/>
        </w:rPr>
        <w:t xml:space="preserve"> dan bij normale zwangerschap</w:t>
      </w:r>
      <w:r w:rsidR="00532CA9">
        <w:rPr>
          <w:lang w:val="nl-BE"/>
        </w:rPr>
        <w:t>.</w:t>
      </w:r>
    </w:p>
    <w:p w:rsidR="00532CA9" w:rsidRDefault="00532CA9" w:rsidP="00532CA9">
      <w:pPr>
        <w:spacing w:after="0"/>
        <w:rPr>
          <w:i/>
          <w:lang w:val="nl-BE"/>
        </w:rPr>
      </w:pPr>
    </w:p>
    <w:p w:rsidR="00532CA9" w:rsidRPr="00532CA9" w:rsidRDefault="00532CA9" w:rsidP="00532CA9">
      <w:pPr>
        <w:spacing w:after="0"/>
        <w:rPr>
          <w:b/>
          <w:i/>
          <w:lang w:val="nl-BE"/>
        </w:rPr>
      </w:pPr>
      <w:r w:rsidRPr="00532CA9">
        <w:rPr>
          <w:b/>
          <w:i/>
          <w:lang w:val="nl-BE"/>
        </w:rPr>
        <w:t>I</w:t>
      </w:r>
      <w:r w:rsidR="00F20702">
        <w:rPr>
          <w:b/>
          <w:i/>
          <w:lang w:val="nl-BE"/>
        </w:rPr>
        <w:t>V</w:t>
      </w:r>
      <w:r w:rsidRPr="00532CA9">
        <w:rPr>
          <w:b/>
          <w:i/>
          <w:lang w:val="nl-BE"/>
        </w:rPr>
        <w:t>.</w:t>
      </w:r>
      <w:r w:rsidRPr="00532CA9">
        <w:rPr>
          <w:b/>
          <w:i/>
          <w:lang w:val="nl-BE"/>
        </w:rPr>
        <w:tab/>
        <w:t>Bijlage</w:t>
      </w:r>
      <w:r w:rsidR="00F20702">
        <w:rPr>
          <w:b/>
          <w:i/>
          <w:lang w:val="nl-BE"/>
        </w:rPr>
        <w:t>n</w:t>
      </w:r>
      <w:r w:rsidRPr="00532CA9">
        <w:rPr>
          <w:b/>
          <w:i/>
          <w:lang w:val="nl-BE"/>
        </w:rPr>
        <w:t xml:space="preserve"> aangaande de kenmerken van de materniteit en de er </w:t>
      </w:r>
      <w:r w:rsidR="0017606F">
        <w:rPr>
          <w:b/>
          <w:i/>
          <w:lang w:val="nl-BE"/>
        </w:rPr>
        <w:t>werkzame</w:t>
      </w:r>
      <w:r w:rsidRPr="00532CA9">
        <w:rPr>
          <w:b/>
          <w:i/>
          <w:lang w:val="nl-BE"/>
        </w:rPr>
        <w:t xml:space="preserve"> gynaecologen</w:t>
      </w:r>
    </w:p>
    <w:p w:rsidR="00532CA9" w:rsidRDefault="00532CA9" w:rsidP="000E2BDA">
      <w:pPr>
        <w:spacing w:after="0"/>
        <w:rPr>
          <w:lang w:val="nl-BE"/>
        </w:rPr>
      </w:pPr>
    </w:p>
    <w:p w:rsidR="00532CA9" w:rsidRDefault="0017606F" w:rsidP="0017606F">
      <w:pPr>
        <w:spacing w:after="0"/>
        <w:ind w:left="709" w:hanging="709"/>
        <w:rPr>
          <w:u w:val="single"/>
          <w:lang w:val="nl-BE"/>
        </w:rPr>
      </w:pPr>
      <w:r>
        <w:rPr>
          <w:lang w:val="nl-BE"/>
        </w:rPr>
        <w:t>2.8.</w:t>
      </w:r>
      <w:r>
        <w:rPr>
          <w:lang w:val="nl-BE"/>
        </w:rPr>
        <w:tab/>
      </w:r>
      <w:r w:rsidRPr="0017606F">
        <w:rPr>
          <w:u w:val="single"/>
          <w:lang w:val="nl-BE"/>
        </w:rPr>
        <w:t xml:space="preserve">Bijlage 8 - Kenmerken van de materniteit vertrekkend van de verstrekkers die er actief zijn </w:t>
      </w:r>
      <w:r>
        <w:rPr>
          <w:u w:val="single"/>
          <w:lang w:val="nl-BE"/>
        </w:rPr>
        <w:t>–</w:t>
      </w:r>
      <w:r w:rsidRPr="0017606F">
        <w:rPr>
          <w:u w:val="single"/>
          <w:lang w:val="nl-BE"/>
        </w:rPr>
        <w:t xml:space="preserve"> 2011</w:t>
      </w:r>
    </w:p>
    <w:p w:rsidR="0017606F" w:rsidRDefault="0017606F" w:rsidP="0017606F">
      <w:pPr>
        <w:spacing w:after="0"/>
        <w:ind w:left="709" w:hanging="709"/>
        <w:rPr>
          <w:lang w:val="nl-BE"/>
        </w:rPr>
      </w:pPr>
    </w:p>
    <w:p w:rsidR="0017606F" w:rsidRDefault="0017606F" w:rsidP="0017606F">
      <w:pPr>
        <w:spacing w:after="0"/>
        <w:rPr>
          <w:lang w:val="nl-BE"/>
        </w:rPr>
      </w:pPr>
      <w:r>
        <w:rPr>
          <w:lang w:val="nl-BE"/>
        </w:rPr>
        <w:t xml:space="preserve">In deze bijlage worden de </w:t>
      </w:r>
      <w:proofErr w:type="spellStart"/>
      <w:r>
        <w:rPr>
          <w:lang w:val="nl-BE"/>
        </w:rPr>
        <w:t>materniteiten</w:t>
      </w:r>
      <w:proofErr w:type="spellEnd"/>
      <w:r>
        <w:rPr>
          <w:lang w:val="nl-BE"/>
        </w:rPr>
        <w:t xml:space="preserve"> gerangschikt in functie van het aantal gynaecologen dat er actief is.</w:t>
      </w:r>
      <w:r w:rsidR="00D15392">
        <w:rPr>
          <w:lang w:val="nl-BE"/>
        </w:rPr>
        <w:t xml:space="preserve"> De eerste 2x3 kolommen geven een overzicht van het aandeel keizersneden per type zwangerschap (risico/normaal) en voor het totaal van de bevallingen van de materniteit. </w:t>
      </w:r>
    </w:p>
    <w:p w:rsidR="00F20702" w:rsidRDefault="00F20702" w:rsidP="0017606F">
      <w:pPr>
        <w:spacing w:after="0"/>
        <w:rPr>
          <w:lang w:val="nl-BE"/>
        </w:rPr>
      </w:pPr>
    </w:p>
    <w:p w:rsidR="0017606F" w:rsidRDefault="00D15392" w:rsidP="0017606F">
      <w:pPr>
        <w:spacing w:after="0"/>
        <w:rPr>
          <w:lang w:val="nl-BE"/>
        </w:rPr>
      </w:pPr>
      <w:r>
        <w:rPr>
          <w:lang w:val="nl-BE"/>
        </w:rPr>
        <w:t xml:space="preserve">Vanaf kolom 7 worden de kenmerken </w:t>
      </w:r>
      <w:r w:rsidR="003826BD">
        <w:rPr>
          <w:lang w:val="nl-BE"/>
        </w:rPr>
        <w:t xml:space="preserve">van de </w:t>
      </w:r>
      <w:r>
        <w:rPr>
          <w:lang w:val="nl-BE"/>
        </w:rPr>
        <w:t>gynaecologen per materniteit weergegeven (in 2011):</w:t>
      </w:r>
    </w:p>
    <w:p w:rsidR="00D15392" w:rsidRPr="00D15392" w:rsidRDefault="00D15392" w:rsidP="00D15392">
      <w:pPr>
        <w:pStyle w:val="ListParagraph"/>
        <w:numPr>
          <w:ilvl w:val="0"/>
          <w:numId w:val="23"/>
        </w:numPr>
        <w:spacing w:after="0"/>
        <w:rPr>
          <w:i/>
          <w:lang w:val="nl-BE"/>
        </w:rPr>
      </w:pPr>
      <w:r w:rsidRPr="00D15392">
        <w:rPr>
          <w:i/>
          <w:lang w:val="nl-BE"/>
        </w:rPr>
        <w:t xml:space="preserve">Aantal actieve </w:t>
      </w:r>
      <w:proofErr w:type="spellStart"/>
      <w:r w:rsidRPr="00D15392">
        <w:rPr>
          <w:i/>
          <w:lang w:val="nl-BE"/>
        </w:rPr>
        <w:t>gynaeco</w:t>
      </w:r>
      <w:proofErr w:type="spellEnd"/>
      <w:r w:rsidRPr="00D15392">
        <w:rPr>
          <w:i/>
          <w:lang w:val="nl-BE"/>
        </w:rPr>
        <w:t xml:space="preserve"> in 2011</w:t>
      </w:r>
      <w:r>
        <w:rPr>
          <w:i/>
          <w:lang w:val="nl-BE"/>
        </w:rPr>
        <w:t>:</w:t>
      </w:r>
      <w:r>
        <w:rPr>
          <w:lang w:val="nl-BE"/>
        </w:rPr>
        <w:t xml:space="preserve"> het aantal verschillende gynaecologen die in het prestatiejaar minstens één bevallingscode geattesteerd hebben in die materniteit</w:t>
      </w:r>
      <w:r>
        <w:rPr>
          <w:rStyle w:val="FootnoteReference"/>
          <w:lang w:val="nl-BE"/>
        </w:rPr>
        <w:footnoteReference w:id="5"/>
      </w:r>
      <w:r>
        <w:rPr>
          <w:lang w:val="nl-BE"/>
        </w:rPr>
        <w:t xml:space="preserve">. Het vastgestelde minimum gynaecologen actief per materniteit in 2011 bedraagt 3 (Chimay en Veurne), het maximum 88 (Edith </w:t>
      </w:r>
      <w:proofErr w:type="spellStart"/>
      <w:r>
        <w:rPr>
          <w:lang w:val="nl-BE"/>
        </w:rPr>
        <w:t>Cavell</w:t>
      </w:r>
      <w:proofErr w:type="spellEnd"/>
      <w:r>
        <w:rPr>
          <w:lang w:val="nl-BE"/>
        </w:rPr>
        <w:t xml:space="preserve"> – waarvan 32 ook nog actief zijn in andere </w:t>
      </w:r>
      <w:proofErr w:type="spellStart"/>
      <w:r>
        <w:rPr>
          <w:lang w:val="nl-BE"/>
        </w:rPr>
        <w:t>materniteiten</w:t>
      </w:r>
      <w:proofErr w:type="spellEnd"/>
      <w:r>
        <w:rPr>
          <w:lang w:val="nl-BE"/>
        </w:rPr>
        <w:t>)</w:t>
      </w:r>
    </w:p>
    <w:p w:rsidR="00E361E8" w:rsidRDefault="00E361E8">
      <w:pPr>
        <w:rPr>
          <w:i/>
          <w:lang w:val="nl-BE"/>
        </w:rPr>
      </w:pPr>
      <w:r>
        <w:rPr>
          <w:i/>
          <w:lang w:val="nl-BE"/>
        </w:rPr>
        <w:br w:type="page"/>
      </w:r>
    </w:p>
    <w:p w:rsidR="00D15392" w:rsidRPr="008C0F7F" w:rsidRDefault="00827615" w:rsidP="00827615">
      <w:pPr>
        <w:pStyle w:val="ListParagraph"/>
        <w:numPr>
          <w:ilvl w:val="0"/>
          <w:numId w:val="23"/>
        </w:numPr>
        <w:spacing w:after="0"/>
        <w:rPr>
          <w:i/>
          <w:lang w:val="nl-BE"/>
        </w:rPr>
      </w:pPr>
      <w:proofErr w:type="spellStart"/>
      <w:r w:rsidRPr="00827615">
        <w:rPr>
          <w:i/>
          <w:lang w:val="nl-BE"/>
        </w:rPr>
        <w:lastRenderedPageBreak/>
        <w:t>Aant</w:t>
      </w:r>
      <w:proofErr w:type="spellEnd"/>
      <w:r w:rsidRPr="00827615">
        <w:rPr>
          <w:i/>
          <w:lang w:val="nl-BE"/>
        </w:rPr>
        <w:t xml:space="preserve">. </w:t>
      </w:r>
      <w:proofErr w:type="spellStart"/>
      <w:r w:rsidRPr="00827615">
        <w:rPr>
          <w:i/>
          <w:lang w:val="nl-BE"/>
        </w:rPr>
        <w:t>gynaeco</w:t>
      </w:r>
      <w:proofErr w:type="spellEnd"/>
      <w:r w:rsidRPr="00827615">
        <w:rPr>
          <w:i/>
          <w:lang w:val="nl-BE"/>
        </w:rPr>
        <w:t>/</w:t>
      </w:r>
      <w:proofErr w:type="spellStart"/>
      <w:r w:rsidRPr="00827615">
        <w:rPr>
          <w:i/>
          <w:lang w:val="nl-BE"/>
        </w:rPr>
        <w:t>zh</w:t>
      </w:r>
      <w:proofErr w:type="spellEnd"/>
      <w:r w:rsidRPr="00827615">
        <w:rPr>
          <w:i/>
          <w:lang w:val="nl-BE"/>
        </w:rPr>
        <w:t xml:space="preserve"> met minder dan 10 </w:t>
      </w:r>
      <w:proofErr w:type="spellStart"/>
      <w:r w:rsidRPr="00827615">
        <w:rPr>
          <w:i/>
          <w:lang w:val="nl-BE"/>
        </w:rPr>
        <w:t>bev</w:t>
      </w:r>
      <w:proofErr w:type="spellEnd"/>
      <w:r w:rsidRPr="00827615">
        <w:rPr>
          <w:i/>
          <w:lang w:val="nl-BE"/>
        </w:rPr>
        <w:t>. in 2011</w:t>
      </w:r>
      <w:r w:rsidR="00D15392">
        <w:rPr>
          <w:i/>
          <w:lang w:val="nl-BE"/>
        </w:rPr>
        <w:t xml:space="preserve">: </w:t>
      </w:r>
      <w:r w:rsidR="008C0F7F">
        <w:rPr>
          <w:lang w:val="nl-BE"/>
        </w:rPr>
        <w:t>het aantal gynaecologen in de betrokken materniteit die in 2011 minder dan 10 bevallingen attesteerden. Indicator voor het aantal startende gynaecologen</w:t>
      </w:r>
      <w:r>
        <w:rPr>
          <w:lang w:val="nl-BE"/>
        </w:rPr>
        <w:t>/einde loopbaan binnen</w:t>
      </w:r>
      <w:r w:rsidR="008C0F7F">
        <w:rPr>
          <w:lang w:val="nl-BE"/>
        </w:rPr>
        <w:t xml:space="preserve"> die materniteit en/of het al dan niet aanwezig zijn van de opleidingsfunctie in die materniteit</w:t>
      </w:r>
    </w:p>
    <w:p w:rsidR="008C0F7F" w:rsidRPr="00A97BBD" w:rsidRDefault="008C0F7F" w:rsidP="008C0F7F">
      <w:pPr>
        <w:pStyle w:val="ListParagraph"/>
        <w:numPr>
          <w:ilvl w:val="0"/>
          <w:numId w:val="23"/>
        </w:numPr>
        <w:spacing w:after="0"/>
        <w:rPr>
          <w:i/>
          <w:lang w:val="nl-BE"/>
        </w:rPr>
      </w:pPr>
      <w:r w:rsidRPr="008C0F7F">
        <w:rPr>
          <w:i/>
          <w:lang w:val="nl-BE"/>
        </w:rPr>
        <w:t xml:space="preserve">Min. </w:t>
      </w:r>
      <w:proofErr w:type="spellStart"/>
      <w:r w:rsidRPr="008C0F7F">
        <w:rPr>
          <w:i/>
          <w:lang w:val="nl-BE"/>
        </w:rPr>
        <w:t>aant</w:t>
      </w:r>
      <w:proofErr w:type="spellEnd"/>
      <w:r w:rsidRPr="008C0F7F">
        <w:rPr>
          <w:i/>
          <w:lang w:val="nl-BE"/>
        </w:rPr>
        <w:t xml:space="preserve">. </w:t>
      </w:r>
      <w:proofErr w:type="spellStart"/>
      <w:r w:rsidRPr="008C0F7F">
        <w:rPr>
          <w:i/>
          <w:lang w:val="nl-BE"/>
        </w:rPr>
        <w:t>bev</w:t>
      </w:r>
      <w:proofErr w:type="spellEnd"/>
      <w:r w:rsidRPr="008C0F7F">
        <w:rPr>
          <w:i/>
          <w:lang w:val="nl-BE"/>
        </w:rPr>
        <w:t xml:space="preserve">. voor </w:t>
      </w:r>
      <w:proofErr w:type="spellStart"/>
      <w:r w:rsidRPr="008C0F7F">
        <w:rPr>
          <w:i/>
          <w:lang w:val="nl-BE"/>
        </w:rPr>
        <w:t>gynae</w:t>
      </w:r>
      <w:proofErr w:type="spellEnd"/>
      <w:r w:rsidRPr="008C0F7F">
        <w:rPr>
          <w:i/>
          <w:lang w:val="nl-BE"/>
        </w:rPr>
        <w:t xml:space="preserve"> met min. 10 </w:t>
      </w:r>
      <w:proofErr w:type="spellStart"/>
      <w:r w:rsidRPr="008C0F7F">
        <w:rPr>
          <w:i/>
          <w:lang w:val="nl-BE"/>
        </w:rPr>
        <w:t>bevall</w:t>
      </w:r>
      <w:proofErr w:type="spellEnd"/>
      <w:r w:rsidRPr="008C0F7F">
        <w:rPr>
          <w:i/>
          <w:lang w:val="nl-BE"/>
        </w:rPr>
        <w:t>.</w:t>
      </w:r>
      <w:r>
        <w:rPr>
          <w:i/>
          <w:lang w:val="nl-BE"/>
        </w:rPr>
        <w:t xml:space="preserve">: </w:t>
      </w:r>
      <w:r>
        <w:rPr>
          <w:lang w:val="nl-BE"/>
        </w:rPr>
        <w:t xml:space="preserve">minimum </w:t>
      </w:r>
      <w:r w:rsidR="00A97BBD">
        <w:rPr>
          <w:lang w:val="nl-BE"/>
        </w:rPr>
        <w:t xml:space="preserve">jaarlijks </w:t>
      </w:r>
      <w:r>
        <w:rPr>
          <w:lang w:val="nl-BE"/>
        </w:rPr>
        <w:t xml:space="preserve">geattesteerde bevallingen door één gynaecoloog voor die gynaecologen die minstens 10 bevallingen </w:t>
      </w:r>
      <w:r w:rsidR="00A97BBD">
        <w:rPr>
          <w:lang w:val="nl-BE"/>
        </w:rPr>
        <w:t xml:space="preserve">in </w:t>
      </w:r>
      <w:r>
        <w:rPr>
          <w:lang w:val="nl-BE"/>
        </w:rPr>
        <w:t>de</w:t>
      </w:r>
      <w:r w:rsidR="00A97BBD">
        <w:rPr>
          <w:lang w:val="nl-BE"/>
        </w:rPr>
        <w:t xml:space="preserve"> betrokken materniteit uitgevoerd hebben.</w:t>
      </w:r>
    </w:p>
    <w:p w:rsidR="00A97BBD" w:rsidRPr="00A97BBD" w:rsidRDefault="00A97BBD" w:rsidP="00A97BBD">
      <w:pPr>
        <w:pStyle w:val="ListParagraph"/>
        <w:numPr>
          <w:ilvl w:val="0"/>
          <w:numId w:val="23"/>
        </w:numPr>
        <w:spacing w:after="0"/>
        <w:rPr>
          <w:i/>
          <w:lang w:val="nl-BE"/>
        </w:rPr>
      </w:pPr>
      <w:r w:rsidRPr="00A97BBD">
        <w:rPr>
          <w:i/>
          <w:lang w:val="nl-BE"/>
        </w:rPr>
        <w:t xml:space="preserve">Max. </w:t>
      </w:r>
      <w:proofErr w:type="spellStart"/>
      <w:r w:rsidRPr="00A97BBD">
        <w:rPr>
          <w:i/>
          <w:lang w:val="nl-BE"/>
        </w:rPr>
        <w:t>aant</w:t>
      </w:r>
      <w:proofErr w:type="spellEnd"/>
      <w:r w:rsidRPr="00A97BBD">
        <w:rPr>
          <w:i/>
          <w:lang w:val="nl-BE"/>
        </w:rPr>
        <w:t xml:space="preserve">. </w:t>
      </w:r>
      <w:proofErr w:type="spellStart"/>
      <w:r w:rsidRPr="00A97BBD">
        <w:rPr>
          <w:i/>
          <w:lang w:val="nl-BE"/>
        </w:rPr>
        <w:t>bev</w:t>
      </w:r>
      <w:proofErr w:type="spellEnd"/>
      <w:r w:rsidRPr="00A97BBD">
        <w:rPr>
          <w:i/>
          <w:lang w:val="nl-BE"/>
        </w:rPr>
        <w:t xml:space="preserve">. voor </w:t>
      </w:r>
      <w:proofErr w:type="spellStart"/>
      <w:r w:rsidRPr="00A97BBD">
        <w:rPr>
          <w:i/>
          <w:lang w:val="nl-BE"/>
        </w:rPr>
        <w:t>gynae</w:t>
      </w:r>
      <w:proofErr w:type="spellEnd"/>
      <w:r w:rsidRPr="00A97BBD">
        <w:rPr>
          <w:i/>
          <w:lang w:val="nl-BE"/>
        </w:rPr>
        <w:t xml:space="preserve"> met min. 10 </w:t>
      </w:r>
      <w:proofErr w:type="spellStart"/>
      <w:r w:rsidRPr="00A97BBD">
        <w:rPr>
          <w:i/>
          <w:lang w:val="nl-BE"/>
        </w:rPr>
        <w:t>bevall</w:t>
      </w:r>
      <w:proofErr w:type="spellEnd"/>
      <w:r w:rsidRPr="00A97BBD">
        <w:rPr>
          <w:i/>
          <w:lang w:val="nl-BE"/>
        </w:rPr>
        <w:t>.</w:t>
      </w:r>
      <w:r>
        <w:rPr>
          <w:i/>
          <w:lang w:val="nl-BE"/>
        </w:rPr>
        <w:t>:</w:t>
      </w:r>
      <w:r w:rsidRPr="00A97BBD">
        <w:rPr>
          <w:lang w:val="nl-BE"/>
        </w:rPr>
        <w:t xml:space="preserve"> </w:t>
      </w:r>
      <w:r>
        <w:rPr>
          <w:lang w:val="nl-BE"/>
        </w:rPr>
        <w:t>maximum jaarlijks geattesteerde bevallingen door één gynaecoloog voor die gynaecologen die minstens 10 bevallingen in de betrokken materniteit uitgevoerd hebben.</w:t>
      </w:r>
    </w:p>
    <w:p w:rsidR="00A97BBD" w:rsidRPr="00A97BBD" w:rsidRDefault="00A97BBD" w:rsidP="00A97BBD">
      <w:pPr>
        <w:pStyle w:val="ListParagraph"/>
        <w:numPr>
          <w:ilvl w:val="0"/>
          <w:numId w:val="23"/>
        </w:numPr>
        <w:spacing w:after="0"/>
        <w:rPr>
          <w:i/>
          <w:lang w:val="nl-BE"/>
        </w:rPr>
      </w:pPr>
      <w:r w:rsidRPr="00A97BBD">
        <w:rPr>
          <w:i/>
          <w:lang w:val="nl-BE"/>
        </w:rPr>
        <w:t xml:space="preserve">Gem. </w:t>
      </w:r>
      <w:proofErr w:type="spellStart"/>
      <w:r w:rsidRPr="00A97BBD">
        <w:rPr>
          <w:i/>
          <w:lang w:val="nl-BE"/>
        </w:rPr>
        <w:t>aant</w:t>
      </w:r>
      <w:proofErr w:type="spellEnd"/>
      <w:r w:rsidRPr="00A97BBD">
        <w:rPr>
          <w:i/>
          <w:lang w:val="nl-BE"/>
        </w:rPr>
        <w:t xml:space="preserve">. </w:t>
      </w:r>
      <w:proofErr w:type="spellStart"/>
      <w:r w:rsidRPr="00A97BBD">
        <w:rPr>
          <w:i/>
          <w:lang w:val="nl-BE"/>
        </w:rPr>
        <w:t>bev</w:t>
      </w:r>
      <w:proofErr w:type="spellEnd"/>
      <w:r w:rsidRPr="00A97BBD">
        <w:rPr>
          <w:i/>
          <w:lang w:val="nl-BE"/>
        </w:rPr>
        <w:t>./</w:t>
      </w:r>
      <w:proofErr w:type="spellStart"/>
      <w:r w:rsidRPr="00A97BBD">
        <w:rPr>
          <w:i/>
          <w:lang w:val="nl-BE"/>
        </w:rPr>
        <w:t>gynae</w:t>
      </w:r>
      <w:proofErr w:type="spellEnd"/>
      <w:r w:rsidRPr="00A97BBD">
        <w:rPr>
          <w:i/>
          <w:lang w:val="nl-BE"/>
        </w:rPr>
        <w:t xml:space="preserve"> (min. 10)</w:t>
      </w:r>
      <w:r>
        <w:rPr>
          <w:i/>
          <w:lang w:val="nl-BE"/>
        </w:rPr>
        <w:t xml:space="preserve">: </w:t>
      </w:r>
      <w:r>
        <w:rPr>
          <w:lang w:val="nl-BE"/>
        </w:rPr>
        <w:t xml:space="preserve">gemiddeld aantal bevallingen per gynaecoloog van de betrokken materniteit, jaarlijks geattesteerd door de gynaecologen die minstens 10 bevallingen op jaarbasis </w:t>
      </w:r>
      <w:r w:rsidR="00271F03">
        <w:rPr>
          <w:lang w:val="nl-BE"/>
        </w:rPr>
        <w:t xml:space="preserve">in die materniteit </w:t>
      </w:r>
      <w:r>
        <w:rPr>
          <w:lang w:val="nl-BE"/>
        </w:rPr>
        <w:t>uitgevoerd hebben</w:t>
      </w:r>
    </w:p>
    <w:p w:rsidR="00A97BBD" w:rsidRPr="00A97BBD" w:rsidRDefault="00A97BBD" w:rsidP="00A97BBD">
      <w:pPr>
        <w:pStyle w:val="ListParagraph"/>
        <w:numPr>
          <w:ilvl w:val="0"/>
          <w:numId w:val="23"/>
        </w:numPr>
        <w:spacing w:after="0"/>
        <w:rPr>
          <w:i/>
          <w:lang w:val="nl-BE"/>
        </w:rPr>
      </w:pPr>
      <w:r w:rsidRPr="00A97BBD">
        <w:rPr>
          <w:i/>
          <w:lang w:val="nl-BE"/>
        </w:rPr>
        <w:t xml:space="preserve">Gem. </w:t>
      </w:r>
      <w:proofErr w:type="spellStart"/>
      <w:r w:rsidRPr="00A97BBD">
        <w:rPr>
          <w:i/>
          <w:lang w:val="nl-BE"/>
        </w:rPr>
        <w:t>aant</w:t>
      </w:r>
      <w:proofErr w:type="spellEnd"/>
      <w:r w:rsidRPr="00A97BBD">
        <w:rPr>
          <w:i/>
          <w:lang w:val="nl-BE"/>
        </w:rPr>
        <w:t xml:space="preserve">. </w:t>
      </w:r>
      <w:proofErr w:type="spellStart"/>
      <w:r w:rsidRPr="00A97BBD">
        <w:rPr>
          <w:i/>
          <w:lang w:val="nl-BE"/>
        </w:rPr>
        <w:t>bev</w:t>
      </w:r>
      <w:proofErr w:type="spellEnd"/>
      <w:r w:rsidRPr="00A97BBD">
        <w:rPr>
          <w:i/>
          <w:lang w:val="nl-BE"/>
        </w:rPr>
        <w:t>./</w:t>
      </w:r>
      <w:proofErr w:type="spellStart"/>
      <w:r w:rsidRPr="00A97BBD">
        <w:rPr>
          <w:i/>
          <w:lang w:val="nl-BE"/>
        </w:rPr>
        <w:t>gynae</w:t>
      </w:r>
      <w:proofErr w:type="spellEnd"/>
      <w:r w:rsidRPr="00A97BBD">
        <w:rPr>
          <w:i/>
          <w:lang w:val="nl-BE"/>
        </w:rPr>
        <w:t xml:space="preserve"> (totaal)</w:t>
      </w:r>
      <w:r>
        <w:rPr>
          <w:i/>
          <w:lang w:val="nl-BE"/>
        </w:rPr>
        <w:t>:</w:t>
      </w:r>
      <w:r w:rsidRPr="00A97BBD">
        <w:rPr>
          <w:lang w:val="nl-BE"/>
        </w:rPr>
        <w:t xml:space="preserve"> </w:t>
      </w:r>
      <w:r>
        <w:rPr>
          <w:lang w:val="nl-BE"/>
        </w:rPr>
        <w:t xml:space="preserve">gemiddeld </w:t>
      </w:r>
      <w:r w:rsidR="00271F03">
        <w:rPr>
          <w:lang w:val="nl-BE"/>
        </w:rPr>
        <w:t xml:space="preserve">jaarlijks </w:t>
      </w:r>
      <w:r>
        <w:rPr>
          <w:lang w:val="nl-BE"/>
        </w:rPr>
        <w:t>aantal bevallingen per gynaecoloog van de betrokken materniteit, ongeacht het aantal bevallingen geattesteerd per gynaecoloog in die materniteit</w:t>
      </w:r>
    </w:p>
    <w:p w:rsidR="00A97BBD" w:rsidRPr="00A97BBD" w:rsidRDefault="00A97BBD" w:rsidP="00A97BBD">
      <w:pPr>
        <w:pStyle w:val="ListParagraph"/>
        <w:numPr>
          <w:ilvl w:val="0"/>
          <w:numId w:val="23"/>
        </w:numPr>
        <w:spacing w:after="0"/>
        <w:rPr>
          <w:i/>
          <w:lang w:val="nl-BE"/>
        </w:rPr>
      </w:pPr>
      <w:r w:rsidRPr="00A97BBD">
        <w:rPr>
          <w:i/>
          <w:lang w:val="nl-BE"/>
        </w:rPr>
        <w:t xml:space="preserve">Min. % </w:t>
      </w:r>
      <w:proofErr w:type="spellStart"/>
      <w:r w:rsidRPr="00A97BBD">
        <w:rPr>
          <w:i/>
          <w:lang w:val="nl-BE"/>
        </w:rPr>
        <w:t>keizersn</w:t>
      </w:r>
      <w:proofErr w:type="spellEnd"/>
      <w:r w:rsidRPr="00A97BBD">
        <w:rPr>
          <w:i/>
          <w:lang w:val="nl-BE"/>
        </w:rPr>
        <w:t xml:space="preserve">./ </w:t>
      </w:r>
      <w:proofErr w:type="spellStart"/>
      <w:r w:rsidRPr="00A97BBD">
        <w:rPr>
          <w:i/>
          <w:lang w:val="nl-BE"/>
        </w:rPr>
        <w:t>gynae</w:t>
      </w:r>
      <w:proofErr w:type="spellEnd"/>
      <w:r w:rsidRPr="00A97BBD">
        <w:rPr>
          <w:i/>
          <w:lang w:val="nl-BE"/>
        </w:rPr>
        <w:t xml:space="preserve"> (min. 10 </w:t>
      </w:r>
      <w:proofErr w:type="spellStart"/>
      <w:r w:rsidRPr="00A97BBD">
        <w:rPr>
          <w:i/>
          <w:lang w:val="nl-BE"/>
        </w:rPr>
        <w:t>bev</w:t>
      </w:r>
      <w:proofErr w:type="spellEnd"/>
      <w:r w:rsidRPr="00A97BBD">
        <w:rPr>
          <w:i/>
          <w:lang w:val="nl-BE"/>
        </w:rPr>
        <w:t>.)</w:t>
      </w:r>
      <w:r>
        <w:rPr>
          <w:i/>
          <w:lang w:val="nl-BE"/>
        </w:rPr>
        <w:t>:</w:t>
      </w:r>
      <w:r>
        <w:rPr>
          <w:lang w:val="nl-BE"/>
        </w:rPr>
        <w:t xml:space="preserve"> laagste vastgesteld aandeel keizersneden per individuele gynaecoloog voor die gynaecologen die minstens 10 bevallingen op jaarbasis in die materniteit uitgevoerd hebben</w:t>
      </w:r>
    </w:p>
    <w:p w:rsidR="00A97BBD" w:rsidRPr="00A97BBD" w:rsidRDefault="00A97BBD" w:rsidP="00A97BBD">
      <w:pPr>
        <w:pStyle w:val="ListParagraph"/>
        <w:numPr>
          <w:ilvl w:val="0"/>
          <w:numId w:val="23"/>
        </w:numPr>
        <w:spacing w:after="0"/>
        <w:rPr>
          <w:i/>
          <w:lang w:val="nl-BE"/>
        </w:rPr>
      </w:pPr>
      <w:r w:rsidRPr="00A97BBD">
        <w:rPr>
          <w:i/>
          <w:lang w:val="nl-BE"/>
        </w:rPr>
        <w:t xml:space="preserve">Max. % </w:t>
      </w:r>
      <w:proofErr w:type="spellStart"/>
      <w:r w:rsidRPr="00A97BBD">
        <w:rPr>
          <w:i/>
          <w:lang w:val="nl-BE"/>
        </w:rPr>
        <w:t>keizersn</w:t>
      </w:r>
      <w:proofErr w:type="spellEnd"/>
      <w:r w:rsidRPr="00A97BBD">
        <w:rPr>
          <w:i/>
          <w:lang w:val="nl-BE"/>
        </w:rPr>
        <w:t xml:space="preserve">./ </w:t>
      </w:r>
      <w:proofErr w:type="spellStart"/>
      <w:r w:rsidRPr="00A97BBD">
        <w:rPr>
          <w:i/>
          <w:lang w:val="nl-BE"/>
        </w:rPr>
        <w:t>gynae</w:t>
      </w:r>
      <w:proofErr w:type="spellEnd"/>
      <w:r w:rsidRPr="00A97BBD">
        <w:rPr>
          <w:i/>
          <w:lang w:val="nl-BE"/>
        </w:rPr>
        <w:t xml:space="preserve"> (min 10 </w:t>
      </w:r>
      <w:proofErr w:type="spellStart"/>
      <w:r w:rsidRPr="00A97BBD">
        <w:rPr>
          <w:i/>
          <w:lang w:val="nl-BE"/>
        </w:rPr>
        <w:t>bev</w:t>
      </w:r>
      <w:proofErr w:type="spellEnd"/>
      <w:r w:rsidRPr="00A97BBD">
        <w:rPr>
          <w:i/>
          <w:lang w:val="nl-BE"/>
        </w:rPr>
        <w:t>.)</w:t>
      </w:r>
      <w:r w:rsidRPr="00A97BBD">
        <w:rPr>
          <w:lang w:val="nl-BE"/>
        </w:rPr>
        <w:t xml:space="preserve"> </w:t>
      </w:r>
      <w:r>
        <w:rPr>
          <w:lang w:val="nl-BE"/>
        </w:rPr>
        <w:t>: hoogste vastgesteld aandeel keizersneden per individuele gynaecoloog voor die gynaecologen die minstens 10 bevallingen op jaarbasis in die materniteit uitgevoerd hebben</w:t>
      </w:r>
    </w:p>
    <w:p w:rsidR="00A97BBD" w:rsidRPr="00A97BBD" w:rsidRDefault="00A97BBD" w:rsidP="00A97BBD">
      <w:pPr>
        <w:pStyle w:val="ListParagraph"/>
        <w:numPr>
          <w:ilvl w:val="0"/>
          <w:numId w:val="23"/>
        </w:numPr>
        <w:spacing w:after="0"/>
        <w:rPr>
          <w:i/>
          <w:lang w:val="nl-BE"/>
        </w:rPr>
      </w:pPr>
      <w:proofErr w:type="spellStart"/>
      <w:r w:rsidRPr="00A97BBD">
        <w:rPr>
          <w:i/>
          <w:lang w:val="nl-BE"/>
        </w:rPr>
        <w:t>Aant</w:t>
      </w:r>
      <w:proofErr w:type="spellEnd"/>
      <w:r w:rsidRPr="00A97BBD">
        <w:rPr>
          <w:i/>
          <w:lang w:val="nl-BE"/>
        </w:rPr>
        <w:t xml:space="preserve">. </w:t>
      </w:r>
      <w:proofErr w:type="spellStart"/>
      <w:r w:rsidRPr="00A97BBD">
        <w:rPr>
          <w:i/>
          <w:lang w:val="nl-BE"/>
        </w:rPr>
        <w:t>vroedvr</w:t>
      </w:r>
      <w:proofErr w:type="spellEnd"/>
      <w:r w:rsidRPr="00A97BBD">
        <w:rPr>
          <w:i/>
          <w:lang w:val="nl-BE"/>
        </w:rPr>
        <w:t>. 2011</w:t>
      </w:r>
      <w:r>
        <w:rPr>
          <w:i/>
          <w:lang w:val="nl-BE"/>
        </w:rPr>
        <w:t xml:space="preserve">: </w:t>
      </w:r>
      <w:r>
        <w:rPr>
          <w:lang w:val="nl-BE"/>
        </w:rPr>
        <w:t>aantal vroedvrouwen in de betrokken materniteit dat minstens één bevalling op eigen naam geattesteerd heeft</w:t>
      </w:r>
    </w:p>
    <w:p w:rsidR="00A97BBD" w:rsidRPr="00393143" w:rsidRDefault="00A97BBD" w:rsidP="00A97BBD">
      <w:pPr>
        <w:pStyle w:val="ListParagraph"/>
        <w:numPr>
          <w:ilvl w:val="0"/>
          <w:numId w:val="23"/>
        </w:numPr>
        <w:spacing w:after="0"/>
        <w:rPr>
          <w:i/>
          <w:lang w:val="nl-BE"/>
        </w:rPr>
      </w:pPr>
      <w:r w:rsidRPr="00A97BBD">
        <w:rPr>
          <w:i/>
          <w:lang w:val="nl-BE"/>
        </w:rPr>
        <w:t xml:space="preserve">Tot. </w:t>
      </w:r>
      <w:proofErr w:type="spellStart"/>
      <w:r w:rsidRPr="00A97BBD">
        <w:rPr>
          <w:i/>
          <w:lang w:val="nl-BE"/>
        </w:rPr>
        <w:t>aant</w:t>
      </w:r>
      <w:proofErr w:type="spellEnd"/>
      <w:r w:rsidRPr="00A97BBD">
        <w:rPr>
          <w:i/>
          <w:lang w:val="nl-BE"/>
        </w:rPr>
        <w:t xml:space="preserve">. </w:t>
      </w:r>
      <w:proofErr w:type="spellStart"/>
      <w:r w:rsidRPr="00A97BBD">
        <w:rPr>
          <w:i/>
          <w:lang w:val="nl-BE"/>
        </w:rPr>
        <w:t>bev</w:t>
      </w:r>
      <w:proofErr w:type="spellEnd"/>
      <w:r w:rsidRPr="00A97BBD">
        <w:rPr>
          <w:i/>
          <w:lang w:val="nl-BE"/>
        </w:rPr>
        <w:t xml:space="preserve">./ </w:t>
      </w:r>
      <w:proofErr w:type="spellStart"/>
      <w:r w:rsidRPr="00A97BBD">
        <w:rPr>
          <w:i/>
          <w:lang w:val="nl-BE"/>
        </w:rPr>
        <w:t>vroedvr</w:t>
      </w:r>
      <w:proofErr w:type="spellEnd"/>
      <w:r w:rsidRPr="00A97BBD">
        <w:rPr>
          <w:i/>
          <w:lang w:val="nl-BE"/>
        </w:rPr>
        <w:t>.</w:t>
      </w:r>
      <w:r w:rsidR="00393143">
        <w:rPr>
          <w:i/>
          <w:lang w:val="nl-BE"/>
        </w:rPr>
        <w:t xml:space="preserve">: </w:t>
      </w:r>
      <w:r w:rsidR="00393143">
        <w:rPr>
          <w:lang w:val="nl-BE"/>
        </w:rPr>
        <w:t>totaal aantal bevallingen geattesteerd door vroedvrouwen in de betrokken materniteit</w:t>
      </w:r>
    </w:p>
    <w:p w:rsidR="00393143" w:rsidRPr="00393143" w:rsidRDefault="00393143" w:rsidP="00393143">
      <w:pPr>
        <w:pBdr>
          <w:top w:val="single" w:sz="4" w:space="1" w:color="auto"/>
          <w:left w:val="single" w:sz="4" w:space="4" w:color="auto"/>
          <w:bottom w:val="single" w:sz="4" w:space="1" w:color="auto"/>
          <w:right w:val="single" w:sz="4" w:space="4" w:color="auto"/>
        </w:pBdr>
        <w:spacing w:after="0"/>
        <w:ind w:left="360"/>
        <w:rPr>
          <w:lang w:val="nl-BE"/>
        </w:rPr>
      </w:pPr>
      <w:r w:rsidRPr="00393143">
        <w:rPr>
          <w:b/>
          <w:highlight w:val="yellow"/>
          <w:lang w:val="nl-BE"/>
        </w:rPr>
        <w:t xml:space="preserve">Opmerking: </w:t>
      </w:r>
      <w:r w:rsidRPr="00393143">
        <w:rPr>
          <w:highlight w:val="yellow"/>
          <w:lang w:val="nl-BE"/>
        </w:rPr>
        <w:t>Aangezien het vergelijkingspunt hier de materniteit</w:t>
      </w:r>
      <w:r w:rsidR="005A378A">
        <w:rPr>
          <w:highlight w:val="yellow"/>
          <w:lang w:val="nl-BE"/>
        </w:rPr>
        <w:t>/campus</w:t>
      </w:r>
      <w:r w:rsidRPr="00393143">
        <w:rPr>
          <w:highlight w:val="yellow"/>
          <w:lang w:val="nl-BE"/>
        </w:rPr>
        <w:t xml:space="preserve"> is, betekent dit dat de verschillende indicatoren voor </w:t>
      </w:r>
      <w:proofErr w:type="spellStart"/>
      <w:r w:rsidRPr="00393143">
        <w:rPr>
          <w:highlight w:val="yellow"/>
          <w:lang w:val="nl-BE"/>
        </w:rPr>
        <w:t>materniteiten</w:t>
      </w:r>
      <w:proofErr w:type="spellEnd"/>
      <w:r w:rsidRPr="00393143">
        <w:rPr>
          <w:highlight w:val="yellow"/>
          <w:lang w:val="nl-BE"/>
        </w:rPr>
        <w:t xml:space="preserve"> waar relatief veel gynaecologen ook actief zijn in andere </w:t>
      </w:r>
      <w:proofErr w:type="spellStart"/>
      <w:r w:rsidRPr="00393143">
        <w:rPr>
          <w:highlight w:val="yellow"/>
          <w:lang w:val="nl-BE"/>
        </w:rPr>
        <w:t>materniteiten</w:t>
      </w:r>
      <w:proofErr w:type="spellEnd"/>
      <w:r w:rsidRPr="00393143">
        <w:rPr>
          <w:highlight w:val="yellow"/>
          <w:lang w:val="nl-BE"/>
        </w:rPr>
        <w:t xml:space="preserve"> (voornamelijk Brussels en Luiks fenomeen), geen betrouwbaar beeld geven van de activiteit (het volume en ratio keizersneden) van de daar werkzame verstrekkers. Deze bias wordt verholpen met de informatie vervat in bijlage 9, maar daar kan omwille van te groot risico op indirecte identificatie (privacy</w:t>
      </w:r>
      <w:r w:rsidR="0031630B">
        <w:rPr>
          <w:highlight w:val="yellow"/>
          <w:lang w:val="nl-BE"/>
        </w:rPr>
        <w:t>wetgeving</w:t>
      </w:r>
      <w:r w:rsidRPr="00393143">
        <w:rPr>
          <w:highlight w:val="yellow"/>
          <w:lang w:val="nl-BE"/>
        </w:rPr>
        <w:t>) v</w:t>
      </w:r>
      <w:r w:rsidR="005A378A">
        <w:rPr>
          <w:highlight w:val="yellow"/>
          <w:lang w:val="nl-BE"/>
        </w:rPr>
        <w:t>an</w:t>
      </w:r>
      <w:r w:rsidRPr="00393143">
        <w:rPr>
          <w:highlight w:val="yellow"/>
          <w:lang w:val="nl-BE"/>
        </w:rPr>
        <w:t xml:space="preserve"> d</w:t>
      </w:r>
      <w:r w:rsidR="0031630B">
        <w:rPr>
          <w:highlight w:val="yellow"/>
          <w:lang w:val="nl-BE"/>
        </w:rPr>
        <w:t>i</w:t>
      </w:r>
      <w:r w:rsidRPr="00393143">
        <w:rPr>
          <w:highlight w:val="yellow"/>
          <w:lang w:val="nl-BE"/>
        </w:rPr>
        <w:t xml:space="preserve">e gynaecologen die in meer dan één materniteit actief zijn, </w:t>
      </w:r>
      <w:r w:rsidR="005A378A">
        <w:rPr>
          <w:highlight w:val="yellow"/>
          <w:lang w:val="nl-BE"/>
        </w:rPr>
        <w:t xml:space="preserve">nooit vermeld worden </w:t>
      </w:r>
      <w:r w:rsidRPr="00393143">
        <w:rPr>
          <w:highlight w:val="yellow"/>
          <w:lang w:val="nl-BE"/>
        </w:rPr>
        <w:t xml:space="preserve">in welke verschillende </w:t>
      </w:r>
      <w:proofErr w:type="spellStart"/>
      <w:r w:rsidRPr="00393143">
        <w:rPr>
          <w:highlight w:val="yellow"/>
          <w:lang w:val="nl-BE"/>
        </w:rPr>
        <w:t>materniteiten</w:t>
      </w:r>
      <w:proofErr w:type="spellEnd"/>
      <w:r w:rsidRPr="00393143">
        <w:rPr>
          <w:highlight w:val="yellow"/>
          <w:lang w:val="nl-BE"/>
        </w:rPr>
        <w:t xml:space="preserve"> ze</w:t>
      </w:r>
      <w:r w:rsidR="0031630B">
        <w:rPr>
          <w:highlight w:val="yellow"/>
          <w:lang w:val="nl-BE"/>
        </w:rPr>
        <w:t xml:space="preserve"> allemaal</w:t>
      </w:r>
      <w:r w:rsidRPr="00393143">
        <w:rPr>
          <w:highlight w:val="yellow"/>
          <w:lang w:val="nl-BE"/>
        </w:rPr>
        <w:t xml:space="preserve"> actief zijn. De resultaten van E. </w:t>
      </w:r>
      <w:proofErr w:type="spellStart"/>
      <w:r w:rsidRPr="00393143">
        <w:rPr>
          <w:highlight w:val="yellow"/>
          <w:lang w:val="nl-BE"/>
        </w:rPr>
        <w:t>Cavell</w:t>
      </w:r>
      <w:proofErr w:type="spellEnd"/>
      <w:r w:rsidRPr="00393143">
        <w:rPr>
          <w:highlight w:val="yellow"/>
          <w:lang w:val="nl-BE"/>
        </w:rPr>
        <w:t xml:space="preserve"> en St-Vincent </w:t>
      </w:r>
      <w:proofErr w:type="spellStart"/>
      <w:r w:rsidRPr="00393143">
        <w:rPr>
          <w:highlight w:val="yellow"/>
          <w:lang w:val="nl-BE"/>
        </w:rPr>
        <w:t>Ste</w:t>
      </w:r>
      <w:proofErr w:type="spellEnd"/>
      <w:r w:rsidRPr="00393143">
        <w:rPr>
          <w:highlight w:val="yellow"/>
          <w:lang w:val="nl-BE"/>
        </w:rPr>
        <w:t xml:space="preserve">-Elisabeth </w:t>
      </w:r>
      <w:r w:rsidR="005A378A">
        <w:rPr>
          <w:highlight w:val="yellow"/>
          <w:lang w:val="nl-BE"/>
        </w:rPr>
        <w:t xml:space="preserve">(lage gemiddelden per gynaecoloog) </w:t>
      </w:r>
      <w:r w:rsidRPr="00393143">
        <w:rPr>
          <w:highlight w:val="yellow"/>
          <w:lang w:val="nl-BE"/>
        </w:rPr>
        <w:t>vormen hier een mooi voorbeeld van.</w:t>
      </w:r>
    </w:p>
    <w:p w:rsidR="00D15392" w:rsidRDefault="00D15392" w:rsidP="0017606F">
      <w:pPr>
        <w:spacing w:after="0"/>
        <w:rPr>
          <w:lang w:val="nl-BE"/>
        </w:rPr>
      </w:pPr>
    </w:p>
    <w:p w:rsidR="007D5AE8" w:rsidRDefault="007D5AE8" w:rsidP="0017606F">
      <w:pPr>
        <w:spacing w:after="0"/>
        <w:rPr>
          <w:lang w:val="nl-BE"/>
        </w:rPr>
      </w:pPr>
    </w:p>
    <w:p w:rsidR="00F91E10" w:rsidRDefault="00F91E10">
      <w:pPr>
        <w:rPr>
          <w:lang w:val="nl-BE"/>
        </w:rPr>
      </w:pPr>
      <w:r>
        <w:rPr>
          <w:lang w:val="nl-BE"/>
        </w:rPr>
        <w:br w:type="page"/>
      </w:r>
    </w:p>
    <w:p w:rsidR="004212DB" w:rsidRPr="004212DB" w:rsidRDefault="003F680A" w:rsidP="003F680A">
      <w:pPr>
        <w:spacing w:after="0"/>
        <w:ind w:left="709" w:hanging="709"/>
        <w:rPr>
          <w:lang w:val="nl-BE"/>
        </w:rPr>
      </w:pPr>
      <w:r>
        <w:rPr>
          <w:lang w:val="nl-BE"/>
        </w:rPr>
        <w:lastRenderedPageBreak/>
        <w:t>2.9.</w:t>
      </w:r>
      <w:r>
        <w:rPr>
          <w:lang w:val="nl-BE"/>
        </w:rPr>
        <w:tab/>
      </w:r>
      <w:r w:rsidR="004212DB" w:rsidRPr="003F680A">
        <w:rPr>
          <w:u w:val="single"/>
          <w:lang w:val="nl-BE"/>
        </w:rPr>
        <w:t>Bijlage 9: Volume bevallingen per gynaecoloog met kenmerken van de patiënten voor het totaal aantal bevallingen</w:t>
      </w:r>
    </w:p>
    <w:p w:rsidR="003F680A" w:rsidRDefault="003F680A" w:rsidP="000E2BDA">
      <w:pPr>
        <w:spacing w:after="0"/>
        <w:rPr>
          <w:lang w:val="nl-BE"/>
        </w:rPr>
      </w:pPr>
    </w:p>
    <w:p w:rsidR="003F680A" w:rsidRDefault="00221299" w:rsidP="000E2BDA">
      <w:pPr>
        <w:spacing w:after="0"/>
        <w:rPr>
          <w:lang w:val="nl-BE"/>
        </w:rPr>
      </w:pPr>
      <w:r>
        <w:rPr>
          <w:lang w:val="nl-BE"/>
        </w:rPr>
        <w:t xml:space="preserve">Bijlage 9 geeft een overzicht van het totaal aantal geattesteerde bevallingen per gynaecoloog in 2011, ongeacht het aantal </w:t>
      </w:r>
      <w:proofErr w:type="spellStart"/>
      <w:r>
        <w:rPr>
          <w:lang w:val="nl-BE"/>
        </w:rPr>
        <w:t>materniteiten</w:t>
      </w:r>
      <w:proofErr w:type="spellEnd"/>
      <w:r>
        <w:rPr>
          <w:lang w:val="nl-BE"/>
        </w:rPr>
        <w:t xml:space="preserve"> waar hij/zij actief is geweest. Voor gynaecologen actief in meer dan één materniteit, kan omwille van te groot risico op indirecte identificatie niet gemeld worden in welke </w:t>
      </w:r>
      <w:proofErr w:type="spellStart"/>
      <w:r>
        <w:rPr>
          <w:lang w:val="nl-BE"/>
        </w:rPr>
        <w:t>materniteiten</w:t>
      </w:r>
      <w:proofErr w:type="spellEnd"/>
      <w:r>
        <w:rPr>
          <w:lang w:val="nl-BE"/>
        </w:rPr>
        <w:t xml:space="preserve"> hij/zij actief was en wordt dit vervangen door het aantal </w:t>
      </w:r>
      <w:proofErr w:type="spellStart"/>
      <w:r>
        <w:rPr>
          <w:lang w:val="nl-BE"/>
        </w:rPr>
        <w:t>materniteiten</w:t>
      </w:r>
      <w:proofErr w:type="spellEnd"/>
      <w:r>
        <w:rPr>
          <w:lang w:val="nl-BE"/>
        </w:rPr>
        <w:t xml:space="preserve"> waar hij/zij actief was. </w:t>
      </w:r>
    </w:p>
    <w:p w:rsidR="00221299" w:rsidRDefault="00221299" w:rsidP="000E2BDA">
      <w:pPr>
        <w:spacing w:after="0"/>
        <w:rPr>
          <w:lang w:val="nl-BE"/>
        </w:rPr>
      </w:pPr>
    </w:p>
    <w:p w:rsidR="00221299" w:rsidRDefault="00221299" w:rsidP="000E2BDA">
      <w:pPr>
        <w:spacing w:after="0"/>
        <w:rPr>
          <w:lang w:val="nl-BE"/>
        </w:rPr>
      </w:pPr>
      <w:r>
        <w:rPr>
          <w:lang w:val="nl-BE"/>
        </w:rPr>
        <w:t>In deze tabel worden de verstrekkers gerangschikt op basis van het in hun naam geattesteerde aantal bevallingen in 2011</w:t>
      </w:r>
      <w:r w:rsidR="00B24FD1">
        <w:rPr>
          <w:lang w:val="nl-BE"/>
        </w:rPr>
        <w:t xml:space="preserve">. De verdere kolommen geven een overzicht van de vorm van bevalling, van de kenmerken van het door hen behandeld </w:t>
      </w:r>
      <w:proofErr w:type="spellStart"/>
      <w:r w:rsidR="00B24FD1">
        <w:rPr>
          <w:lang w:val="nl-BE"/>
        </w:rPr>
        <w:t>patiënteel</w:t>
      </w:r>
      <w:proofErr w:type="spellEnd"/>
      <w:r w:rsidR="00B24FD1">
        <w:rPr>
          <w:lang w:val="nl-BE"/>
        </w:rPr>
        <w:t xml:space="preserve"> en de gemiddelde verblijfsduur voor die patiëntes (ongeacht het type zwangerschap). Voor gynaecologen actief in meer dan één materniteit worden de kenmerken van hun globaal </w:t>
      </w:r>
      <w:proofErr w:type="spellStart"/>
      <w:r w:rsidR="00B24FD1">
        <w:rPr>
          <w:lang w:val="nl-BE"/>
        </w:rPr>
        <w:t>patiënteel</w:t>
      </w:r>
      <w:proofErr w:type="spellEnd"/>
      <w:r w:rsidR="00B24FD1">
        <w:rPr>
          <w:lang w:val="nl-BE"/>
        </w:rPr>
        <w:t xml:space="preserve"> vermeld.</w:t>
      </w:r>
    </w:p>
    <w:p w:rsidR="003F680A" w:rsidRDefault="003F680A" w:rsidP="000E2BDA">
      <w:pPr>
        <w:spacing w:after="0"/>
        <w:rPr>
          <w:lang w:val="nl-BE"/>
        </w:rPr>
      </w:pPr>
    </w:p>
    <w:p w:rsidR="00221299" w:rsidRDefault="00B24FD1" w:rsidP="00B24FD1">
      <w:pPr>
        <w:spacing w:after="0"/>
        <w:ind w:left="709" w:hanging="709"/>
        <w:rPr>
          <w:lang w:val="nl-BE"/>
        </w:rPr>
      </w:pPr>
      <w:r>
        <w:rPr>
          <w:lang w:val="nl-BE"/>
        </w:rPr>
        <w:t>2.10.</w:t>
      </w:r>
      <w:r>
        <w:rPr>
          <w:lang w:val="nl-BE"/>
        </w:rPr>
        <w:tab/>
      </w:r>
      <w:r w:rsidRPr="00B24FD1">
        <w:rPr>
          <w:u w:val="single"/>
          <w:lang w:val="nl-BE"/>
        </w:rPr>
        <w:t>Bijlage 10 - Aandeel keizersneden bij actieve gynaecologen in 2011 op basis van hun volume prestaties tussen 2008 en 2011</w:t>
      </w:r>
    </w:p>
    <w:p w:rsidR="00221299" w:rsidRDefault="00221299" w:rsidP="000E2BDA">
      <w:pPr>
        <w:spacing w:after="0"/>
        <w:rPr>
          <w:lang w:val="nl-BE"/>
        </w:rPr>
      </w:pPr>
    </w:p>
    <w:p w:rsidR="00B24FD1" w:rsidRDefault="00B24FD1" w:rsidP="000E2BDA">
      <w:pPr>
        <w:spacing w:after="0"/>
        <w:rPr>
          <w:lang w:val="nl-BE"/>
        </w:rPr>
      </w:pPr>
      <w:r>
        <w:rPr>
          <w:lang w:val="nl-BE"/>
        </w:rPr>
        <w:t>Bijlage 10 geeft een overzicht van de activiteit 2008-2011 van de in 2011 nog actieve verstrekkers, waarbij de gynaecologen gerangschikt worden op basis van hun totale volume aan geattesteerde bevallingen tussen 2008 en 2011. Voor elk jaar wordt voor de betrokken gynaecoloog het totaal aantal bevallingen, het aantal keizersneden en het aandeel keizersneden gegeven. De laatste 3 kolommen geven dezelfde informatie, maar dan voor de volledige periode van 4 jaar.</w:t>
      </w:r>
    </w:p>
    <w:p w:rsidR="00B24FD1" w:rsidRDefault="00B24FD1" w:rsidP="000E2BDA">
      <w:pPr>
        <w:spacing w:after="0"/>
        <w:rPr>
          <w:lang w:val="nl-BE"/>
        </w:rPr>
      </w:pPr>
    </w:p>
    <w:p w:rsidR="009A70C9" w:rsidRDefault="009A70C9" w:rsidP="009A70C9">
      <w:pPr>
        <w:spacing w:after="0"/>
        <w:rPr>
          <w:lang w:val="nl-BE"/>
        </w:rPr>
      </w:pPr>
      <w:r>
        <w:rPr>
          <w:lang w:val="nl-BE"/>
        </w:rPr>
        <w:t>De lijnen 1146 t/m 1149 geven de bijkomende informatie aangaande bevallingen uitgevoerd in de jaren voor 2011 door verstrekkers die niet meer actief zijn in 2011, zodat de totalen van de voorgaande tabellen voor de jaren 2008-2010 terug gereconstrueerd kunnen worden.</w:t>
      </w:r>
    </w:p>
    <w:p w:rsidR="009A70C9" w:rsidRDefault="009A70C9" w:rsidP="009A70C9">
      <w:pPr>
        <w:spacing w:after="0"/>
        <w:rPr>
          <w:lang w:val="nl-BE"/>
        </w:rPr>
      </w:pPr>
      <w:r>
        <w:rPr>
          <w:lang w:val="nl-BE"/>
        </w:rPr>
        <w:t>Zo geeft lijn 1146</w:t>
      </w:r>
      <w:r w:rsidR="00AB0C33">
        <w:rPr>
          <w:lang w:val="nl-BE"/>
        </w:rPr>
        <w:t xml:space="preserve"> in het </w:t>
      </w:r>
      <w:proofErr w:type="spellStart"/>
      <w:r w:rsidR="00AB0C33">
        <w:rPr>
          <w:lang w:val="nl-BE"/>
        </w:rPr>
        <w:t>excelbestand</w:t>
      </w:r>
      <w:proofErr w:type="spellEnd"/>
      <w:r>
        <w:rPr>
          <w:lang w:val="nl-BE"/>
        </w:rPr>
        <w:t xml:space="preserve"> aan dat de gynaecologen actief in 2010, maar niet in 2011, in 2010 goed waren voor 985 bevallingen, waarvan 187 keizersneden, wat overeenstemt met een aandeel keizersneden voor die gynaecologen in 2010 van 19%.</w:t>
      </w:r>
    </w:p>
    <w:p w:rsidR="009A70C9" w:rsidRPr="009A70C9" w:rsidRDefault="009A70C9" w:rsidP="009A70C9">
      <w:pPr>
        <w:spacing w:after="0"/>
        <w:rPr>
          <w:lang w:val="nl-BE"/>
        </w:rPr>
      </w:pPr>
    </w:p>
    <w:p w:rsidR="00C36459" w:rsidRDefault="009A70C9" w:rsidP="000E2BDA">
      <w:pPr>
        <w:spacing w:after="0"/>
        <w:rPr>
          <w:b/>
          <w:i/>
          <w:lang w:val="nl-BE"/>
        </w:rPr>
      </w:pPr>
      <w:r w:rsidRPr="009A70C9">
        <w:rPr>
          <w:b/>
          <w:i/>
          <w:lang w:val="nl-BE"/>
        </w:rPr>
        <w:t>V.</w:t>
      </w:r>
      <w:r w:rsidRPr="009A70C9">
        <w:rPr>
          <w:b/>
          <w:i/>
          <w:lang w:val="nl-BE"/>
        </w:rPr>
        <w:tab/>
        <w:t>Specifieke tabellen 15, 16 en 17 niet onmiddellijk afleidbaar uit bijlagen</w:t>
      </w:r>
    </w:p>
    <w:p w:rsidR="009A70C9" w:rsidRDefault="009A70C9" w:rsidP="000E2BDA">
      <w:pPr>
        <w:spacing w:after="0"/>
        <w:rPr>
          <w:b/>
          <w:i/>
          <w:lang w:val="nl-BE"/>
        </w:rPr>
      </w:pPr>
    </w:p>
    <w:p w:rsidR="009A70C9" w:rsidRDefault="009A70C9" w:rsidP="000E2BDA">
      <w:pPr>
        <w:spacing w:after="0"/>
        <w:rPr>
          <w:lang w:val="nl-BE"/>
        </w:rPr>
      </w:pPr>
      <w:r>
        <w:rPr>
          <w:lang w:val="nl-BE"/>
        </w:rPr>
        <w:t>2.11</w:t>
      </w:r>
      <w:r>
        <w:rPr>
          <w:lang w:val="nl-BE"/>
        </w:rPr>
        <w:tab/>
      </w:r>
      <w:r w:rsidRPr="009A70C9">
        <w:rPr>
          <w:u w:val="single"/>
          <w:lang w:val="nl-BE"/>
        </w:rPr>
        <w:t>Tabellen 15 - Overzicht van het volume activiteit van gynaecologen in 2011</w:t>
      </w:r>
    </w:p>
    <w:p w:rsidR="009A70C9" w:rsidRDefault="009A70C9" w:rsidP="000E2BDA">
      <w:pPr>
        <w:spacing w:after="0"/>
        <w:rPr>
          <w:lang w:val="nl-BE"/>
        </w:rPr>
      </w:pPr>
    </w:p>
    <w:p w:rsidR="009A70C9" w:rsidRDefault="009A70C9" w:rsidP="000E2BDA">
      <w:pPr>
        <w:spacing w:after="0"/>
        <w:rPr>
          <w:lang w:val="nl-BE"/>
        </w:rPr>
      </w:pPr>
      <w:r>
        <w:rPr>
          <w:lang w:val="nl-BE"/>
        </w:rPr>
        <w:t>In deze 3 tabellen werden de 1.140 gynaecologen actief in 2011 gerangschikt op basis van het aantal geattesteerde bevallingen in 2011.</w:t>
      </w:r>
    </w:p>
    <w:p w:rsidR="009A70C9" w:rsidRDefault="009A70C9" w:rsidP="000E2BDA">
      <w:pPr>
        <w:spacing w:after="0"/>
        <w:rPr>
          <w:lang w:val="nl-BE"/>
        </w:rPr>
      </w:pPr>
      <w:r>
        <w:rPr>
          <w:lang w:val="nl-BE"/>
        </w:rPr>
        <w:t>Vervolgens werden jaarlijkse aantallen bevallingen per gynaecoloog bepaald die plus minus de gynaecologen indeelden in 5%, 10%, 25%, 50%, 75%, 90% en 95% van het totaal</w:t>
      </w:r>
      <w:r w:rsidR="008F2575">
        <w:rPr>
          <w:lang w:val="nl-BE"/>
        </w:rPr>
        <w:t xml:space="preserve"> aantal actieve gynaecologen</w:t>
      </w:r>
      <w:r w:rsidR="00AB0C33">
        <w:rPr>
          <w:lang w:val="nl-BE"/>
        </w:rPr>
        <w:t xml:space="preserve"> in 2011</w:t>
      </w:r>
      <w:r w:rsidR="008F2575">
        <w:rPr>
          <w:lang w:val="nl-BE"/>
        </w:rPr>
        <w:t>.</w:t>
      </w:r>
    </w:p>
    <w:p w:rsidR="008F2575" w:rsidRDefault="008F2575" w:rsidP="000752EE">
      <w:pPr>
        <w:spacing w:after="0"/>
        <w:rPr>
          <w:lang w:val="nl-BE"/>
        </w:rPr>
      </w:pPr>
    </w:p>
    <w:p w:rsidR="00F91E10" w:rsidRDefault="00F91E10">
      <w:pPr>
        <w:rPr>
          <w:lang w:val="nl-BE"/>
        </w:rPr>
      </w:pPr>
      <w:r>
        <w:rPr>
          <w:lang w:val="nl-BE"/>
        </w:rPr>
        <w:br w:type="page"/>
      </w:r>
    </w:p>
    <w:p w:rsidR="008F2575" w:rsidRDefault="008F2575" w:rsidP="000E2BDA">
      <w:pPr>
        <w:spacing w:after="0"/>
        <w:rPr>
          <w:lang w:val="nl-BE"/>
        </w:rPr>
      </w:pPr>
      <w:r>
        <w:rPr>
          <w:lang w:val="nl-BE"/>
        </w:rPr>
        <w:lastRenderedPageBreak/>
        <w:t xml:space="preserve">Voor </w:t>
      </w:r>
      <w:r w:rsidR="00AB0C33">
        <w:rPr>
          <w:lang w:val="nl-BE"/>
        </w:rPr>
        <w:t>elke</w:t>
      </w:r>
      <w:r>
        <w:rPr>
          <w:lang w:val="nl-BE"/>
        </w:rPr>
        <w:t xml:space="preserve"> klasse gynaecologen wordt</w:t>
      </w:r>
    </w:p>
    <w:p w:rsidR="00F91E10" w:rsidRDefault="00F91E10" w:rsidP="000E2BDA">
      <w:pPr>
        <w:spacing w:after="0"/>
        <w:rPr>
          <w:lang w:val="nl-BE"/>
        </w:rPr>
      </w:pPr>
    </w:p>
    <w:p w:rsidR="008F2575" w:rsidRPr="008F2575" w:rsidRDefault="008F2575" w:rsidP="008F2575">
      <w:pPr>
        <w:pStyle w:val="ListParagraph"/>
        <w:numPr>
          <w:ilvl w:val="0"/>
          <w:numId w:val="24"/>
        </w:numPr>
        <w:spacing w:after="0"/>
        <w:rPr>
          <w:lang w:val="nl-BE"/>
        </w:rPr>
      </w:pPr>
      <w:r w:rsidRPr="008F2575">
        <w:rPr>
          <w:lang w:val="nl-BE"/>
        </w:rPr>
        <w:t>het interval van aantal bevallingen per jaar gegeven</w:t>
      </w:r>
      <w:r w:rsidR="00F91E10">
        <w:rPr>
          <w:lang w:val="nl-BE"/>
        </w:rPr>
        <w:t xml:space="preserve"> waarin zijn volume aan jaarlijkse bevallingen valt</w:t>
      </w:r>
      <w:r w:rsidRPr="008F2575">
        <w:rPr>
          <w:lang w:val="nl-BE"/>
        </w:rPr>
        <w:t>,</w:t>
      </w:r>
    </w:p>
    <w:p w:rsidR="008F2575" w:rsidRPr="008F2575" w:rsidRDefault="008F2575" w:rsidP="008F2575">
      <w:pPr>
        <w:pStyle w:val="ListParagraph"/>
        <w:numPr>
          <w:ilvl w:val="0"/>
          <w:numId w:val="24"/>
        </w:numPr>
        <w:spacing w:after="0"/>
        <w:rPr>
          <w:lang w:val="nl-BE"/>
        </w:rPr>
      </w:pPr>
      <w:r w:rsidRPr="008F2575">
        <w:rPr>
          <w:lang w:val="nl-BE"/>
        </w:rPr>
        <w:t>het aantal gynaecologen in die klasse</w:t>
      </w:r>
    </w:p>
    <w:p w:rsidR="008F2575" w:rsidRPr="008F2575" w:rsidRDefault="008F2575" w:rsidP="008F2575">
      <w:pPr>
        <w:pStyle w:val="ListParagraph"/>
        <w:numPr>
          <w:ilvl w:val="0"/>
          <w:numId w:val="24"/>
        </w:numPr>
        <w:spacing w:after="0"/>
        <w:rPr>
          <w:lang w:val="nl-BE"/>
        </w:rPr>
      </w:pPr>
      <w:r w:rsidRPr="008F2575">
        <w:rPr>
          <w:lang w:val="nl-BE"/>
        </w:rPr>
        <w:t>het gemiddeld aantal bevallingen per gynaecoloog in die klasse</w:t>
      </w:r>
    </w:p>
    <w:p w:rsidR="008F2575" w:rsidRPr="008F2575" w:rsidRDefault="008F2575" w:rsidP="008F2575">
      <w:pPr>
        <w:pStyle w:val="ListParagraph"/>
        <w:numPr>
          <w:ilvl w:val="0"/>
          <w:numId w:val="24"/>
        </w:numPr>
        <w:spacing w:after="0"/>
        <w:rPr>
          <w:lang w:val="nl-BE"/>
        </w:rPr>
      </w:pPr>
      <w:r w:rsidRPr="008F2575">
        <w:rPr>
          <w:lang w:val="nl-BE"/>
        </w:rPr>
        <w:t>het totaal aantal bevallingen van die klasse</w:t>
      </w:r>
    </w:p>
    <w:p w:rsidR="008F2575" w:rsidRPr="008F2575" w:rsidRDefault="008F2575" w:rsidP="008F2575">
      <w:pPr>
        <w:pStyle w:val="ListParagraph"/>
        <w:numPr>
          <w:ilvl w:val="0"/>
          <w:numId w:val="24"/>
        </w:numPr>
        <w:spacing w:after="0"/>
        <w:rPr>
          <w:lang w:val="nl-BE"/>
        </w:rPr>
      </w:pPr>
      <w:r w:rsidRPr="008F2575">
        <w:rPr>
          <w:lang w:val="nl-BE"/>
        </w:rPr>
        <w:t>het totaal aantal keizersneden in die klasse</w:t>
      </w:r>
    </w:p>
    <w:p w:rsidR="008F2575" w:rsidRPr="008F2575" w:rsidRDefault="008F2575" w:rsidP="008F2575">
      <w:pPr>
        <w:pStyle w:val="ListParagraph"/>
        <w:numPr>
          <w:ilvl w:val="0"/>
          <w:numId w:val="24"/>
        </w:numPr>
        <w:spacing w:after="0"/>
        <w:rPr>
          <w:lang w:val="nl-BE"/>
        </w:rPr>
      </w:pPr>
      <w:r w:rsidRPr="008F2575">
        <w:rPr>
          <w:lang w:val="nl-BE"/>
        </w:rPr>
        <w:t>het aandeel keizersneden in die klasse</w:t>
      </w:r>
    </w:p>
    <w:p w:rsidR="008F2575" w:rsidRPr="008F2575" w:rsidRDefault="008F2575" w:rsidP="008F2575">
      <w:pPr>
        <w:pStyle w:val="ListParagraph"/>
        <w:numPr>
          <w:ilvl w:val="0"/>
          <w:numId w:val="24"/>
        </w:numPr>
        <w:spacing w:after="0"/>
        <w:rPr>
          <w:lang w:val="nl-BE"/>
        </w:rPr>
      </w:pPr>
      <w:r w:rsidRPr="008F2575">
        <w:rPr>
          <w:lang w:val="nl-BE"/>
        </w:rPr>
        <w:t>het aandeel bevallingen dat die groep gynaecologen vertegenwoordigt in het totaal aantal bevallingen van 2011</w:t>
      </w:r>
    </w:p>
    <w:p w:rsidR="008F2575" w:rsidRPr="008F2575" w:rsidRDefault="008F2575" w:rsidP="008F2575">
      <w:pPr>
        <w:pStyle w:val="ListParagraph"/>
        <w:numPr>
          <w:ilvl w:val="0"/>
          <w:numId w:val="24"/>
        </w:numPr>
        <w:spacing w:after="0"/>
        <w:rPr>
          <w:lang w:val="nl-BE"/>
        </w:rPr>
      </w:pPr>
      <w:r w:rsidRPr="008F2575">
        <w:rPr>
          <w:lang w:val="nl-BE"/>
        </w:rPr>
        <w:t>het aandeel gynaecologen dat die groep gynaecologen vertegenwoordigt in het totaal aantal gynaecologen van 2011</w:t>
      </w:r>
    </w:p>
    <w:p w:rsidR="008F2575" w:rsidRDefault="008F2575" w:rsidP="008F2575">
      <w:pPr>
        <w:pStyle w:val="ListParagraph"/>
        <w:numPr>
          <w:ilvl w:val="0"/>
          <w:numId w:val="24"/>
        </w:numPr>
        <w:spacing w:after="0"/>
        <w:rPr>
          <w:lang w:val="nl-BE"/>
        </w:rPr>
      </w:pPr>
      <w:r w:rsidRPr="008F2575">
        <w:rPr>
          <w:lang w:val="nl-BE"/>
        </w:rPr>
        <w:t>het gecumuleerd aandeel bevallingen en aandeel gynaecologen van die klasse gynaecologen samengeteld met de groepen met nog minder geattesteerde bevallingen.</w:t>
      </w:r>
    </w:p>
    <w:p w:rsidR="008F2575" w:rsidRDefault="008F2575" w:rsidP="008F2575">
      <w:pPr>
        <w:spacing w:after="0"/>
        <w:rPr>
          <w:lang w:val="nl-BE"/>
        </w:rPr>
      </w:pPr>
    </w:p>
    <w:p w:rsidR="008F2575" w:rsidRDefault="008F2575" w:rsidP="008F2575">
      <w:pPr>
        <w:spacing w:after="0"/>
        <w:rPr>
          <w:lang w:val="nl-BE"/>
        </w:rPr>
      </w:pPr>
      <w:r>
        <w:rPr>
          <w:lang w:val="nl-BE"/>
        </w:rPr>
        <w:t>Tabel 15.1 geeft die informatie voor alle gynaecologen, tabellen 15.2 en 15.3 geven dezelfde informatie, maar dan ofwel voor de gynaecologen die in slechts 1 materniteit actief zijn en deze die in twee of meer materniteit attesteren, maar telkens volgens dezelfde klassen (van aantal bevallingen op jaarbasis).</w:t>
      </w:r>
    </w:p>
    <w:p w:rsidR="008F2575" w:rsidRDefault="008F2575" w:rsidP="008F2575">
      <w:pPr>
        <w:spacing w:after="0"/>
        <w:rPr>
          <w:lang w:val="nl-BE"/>
        </w:rPr>
      </w:pPr>
    </w:p>
    <w:p w:rsidR="008F2575" w:rsidRDefault="008F2575" w:rsidP="008F2575">
      <w:pPr>
        <w:spacing w:after="0"/>
        <w:rPr>
          <w:lang w:val="nl-BE"/>
        </w:rPr>
      </w:pPr>
      <w:r>
        <w:rPr>
          <w:lang w:val="nl-BE"/>
        </w:rPr>
        <w:t>Concreet dient lijn 8 van tabel 15.1 als volgt gelezen te worden:</w:t>
      </w:r>
    </w:p>
    <w:p w:rsidR="008F2575" w:rsidRDefault="00246209" w:rsidP="008F2575">
      <w:pPr>
        <w:spacing w:after="0"/>
        <w:rPr>
          <w:lang w:val="nl-BE"/>
        </w:rPr>
      </w:pPr>
      <w:r w:rsidRPr="00246209">
        <w:rPr>
          <w:noProof/>
        </w:rPr>
        <w:drawing>
          <wp:inline distT="0" distB="0" distL="0" distR="0" wp14:anchorId="060CCEE0" wp14:editId="346929D6">
            <wp:extent cx="5943600" cy="175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175260"/>
                    </a:xfrm>
                    <a:prstGeom prst="rect">
                      <a:avLst/>
                    </a:prstGeom>
                  </pic:spPr>
                </pic:pic>
              </a:graphicData>
            </a:graphic>
          </wp:inline>
        </w:drawing>
      </w:r>
    </w:p>
    <w:p w:rsidR="00246209" w:rsidRDefault="00246209" w:rsidP="008F2575">
      <w:pPr>
        <w:spacing w:after="0"/>
        <w:rPr>
          <w:lang w:val="nl-BE"/>
        </w:rPr>
      </w:pPr>
      <w:r>
        <w:rPr>
          <w:lang w:val="nl-BE"/>
        </w:rPr>
        <w:t>De 55 gynaecologen die tussen drie en maximaal 7 bevallingen attesteerden in 2011, met een gemiddelde van 4,6 bevallingen per gynaecoloog in die klasse, vertegenwoordigen samen 254 bevallingen in 2011</w:t>
      </w:r>
      <w:r w:rsidR="00F91E10">
        <w:rPr>
          <w:lang w:val="nl-BE"/>
        </w:rPr>
        <w:t xml:space="preserve"> of 0,3% van het totaal aantal bevallingen</w:t>
      </w:r>
      <w:r>
        <w:rPr>
          <w:lang w:val="nl-BE"/>
        </w:rPr>
        <w:t>, waarvan de 77 keizersneden een aandeel van 30,3% vertegenwoordigen. Die 55 gynaecologen</w:t>
      </w:r>
      <w:r w:rsidR="00E361E8">
        <w:rPr>
          <w:lang w:val="nl-BE"/>
        </w:rPr>
        <w:t xml:space="preserve"> </w:t>
      </w:r>
      <w:r>
        <w:rPr>
          <w:lang w:val="nl-BE"/>
        </w:rPr>
        <w:t>vertegenwoordigen 4,8% van de gynaecologen die in 2011 een bevalling geattesteerd hebben. De globale groep gynaecologen die tussen 1 en maximaal 7 bevallingen geattesteerd hebben, vertegenwoordigen 10,6% van de gynaecologen in 2011 en 0,3% van de totaal geattesteerde bevallingen.</w:t>
      </w:r>
    </w:p>
    <w:p w:rsidR="00246209" w:rsidRDefault="00246209" w:rsidP="00246209">
      <w:pPr>
        <w:rPr>
          <w:lang w:val="nl-BE"/>
        </w:rPr>
      </w:pPr>
    </w:p>
    <w:p w:rsidR="008F2575" w:rsidRDefault="00246209" w:rsidP="008F2575">
      <w:pPr>
        <w:spacing w:after="0"/>
      </w:pPr>
      <w:r w:rsidRPr="00246209">
        <w:t>2.12</w:t>
      </w:r>
      <w:r w:rsidRPr="00246209">
        <w:tab/>
      </w:r>
      <w:proofErr w:type="spellStart"/>
      <w:r w:rsidRPr="00246209">
        <w:rPr>
          <w:u w:val="single"/>
        </w:rPr>
        <w:t>Tabellen</w:t>
      </w:r>
      <w:proofErr w:type="spellEnd"/>
      <w:r w:rsidRPr="00246209">
        <w:rPr>
          <w:u w:val="single"/>
        </w:rPr>
        <w:t xml:space="preserve"> 16 - Impact mono-multi in Edith Cavell in 2011</w:t>
      </w:r>
    </w:p>
    <w:p w:rsidR="00246209" w:rsidRDefault="00246209" w:rsidP="008F2575">
      <w:pPr>
        <w:spacing w:after="0"/>
      </w:pPr>
    </w:p>
    <w:p w:rsidR="00246209" w:rsidRDefault="00246209" w:rsidP="008F2575">
      <w:pPr>
        <w:spacing w:after="0"/>
        <w:rPr>
          <w:lang w:val="nl-BE"/>
        </w:rPr>
      </w:pPr>
      <w:r w:rsidRPr="00246209">
        <w:rPr>
          <w:lang w:val="nl-BE"/>
        </w:rPr>
        <w:t xml:space="preserve">Tabel 16 geeft met het voorbeeld van Edith </w:t>
      </w:r>
      <w:proofErr w:type="spellStart"/>
      <w:r w:rsidRPr="00246209">
        <w:rPr>
          <w:lang w:val="nl-BE"/>
        </w:rPr>
        <w:t>Cavell</w:t>
      </w:r>
      <w:proofErr w:type="spellEnd"/>
      <w:r w:rsidRPr="00246209">
        <w:rPr>
          <w:lang w:val="nl-BE"/>
        </w:rPr>
        <w:t xml:space="preserve"> aan </w:t>
      </w:r>
      <w:r>
        <w:rPr>
          <w:lang w:val="nl-BE"/>
        </w:rPr>
        <w:t xml:space="preserve">welke </w:t>
      </w:r>
      <w:r w:rsidRPr="00246209">
        <w:rPr>
          <w:lang w:val="nl-BE"/>
        </w:rPr>
        <w:t xml:space="preserve"> vertekening de activiteit voor verstrekkers actief in meer dan 1 materniteit </w:t>
      </w:r>
      <w:r>
        <w:rPr>
          <w:lang w:val="nl-BE"/>
        </w:rPr>
        <w:t>geeft door maar naar de activiteit van 1 materniteit te kijken.</w:t>
      </w:r>
    </w:p>
    <w:p w:rsidR="00246209" w:rsidRDefault="00246209" w:rsidP="008F2575">
      <w:pPr>
        <w:spacing w:after="0"/>
        <w:rPr>
          <w:lang w:val="nl-BE"/>
        </w:rPr>
      </w:pPr>
    </w:p>
    <w:p w:rsidR="00F91E10" w:rsidRDefault="00F91E10">
      <w:pPr>
        <w:rPr>
          <w:lang w:val="nl-BE"/>
        </w:rPr>
      </w:pPr>
      <w:r>
        <w:rPr>
          <w:lang w:val="nl-BE"/>
        </w:rPr>
        <w:br w:type="page"/>
      </w:r>
    </w:p>
    <w:p w:rsidR="00246209" w:rsidRDefault="00246209" w:rsidP="008F2575">
      <w:pPr>
        <w:spacing w:after="0"/>
        <w:rPr>
          <w:lang w:val="nl-BE"/>
        </w:rPr>
      </w:pPr>
      <w:r>
        <w:rPr>
          <w:lang w:val="nl-BE"/>
        </w:rPr>
        <w:lastRenderedPageBreak/>
        <w:t xml:space="preserve">Het voorbeeld van de gynaecoloog ‘Multi 4’ actief in 3 </w:t>
      </w:r>
      <w:proofErr w:type="spellStart"/>
      <w:r>
        <w:rPr>
          <w:lang w:val="nl-BE"/>
        </w:rPr>
        <w:t>materniteiten</w:t>
      </w:r>
      <w:proofErr w:type="spellEnd"/>
      <w:r>
        <w:rPr>
          <w:lang w:val="nl-BE"/>
        </w:rPr>
        <w:t xml:space="preserve"> geeft zo aan dat een marginaal aandeel van zijn bevallingen (10 op de </w:t>
      </w:r>
      <w:r w:rsidR="00EC1077">
        <w:rPr>
          <w:lang w:val="nl-BE"/>
        </w:rPr>
        <w:t xml:space="preserve">153) in </w:t>
      </w:r>
      <w:proofErr w:type="spellStart"/>
      <w:r w:rsidR="00EC1077">
        <w:rPr>
          <w:lang w:val="nl-BE"/>
        </w:rPr>
        <w:t>Cavell</w:t>
      </w:r>
      <w:proofErr w:type="spellEnd"/>
      <w:r w:rsidR="00EC1077">
        <w:rPr>
          <w:lang w:val="nl-BE"/>
        </w:rPr>
        <w:t xml:space="preserve"> uitgevoerd wordt, met een veel hoger aandeel keizersneden (30% </w:t>
      </w:r>
      <w:proofErr w:type="spellStart"/>
      <w:r w:rsidR="00EC1077">
        <w:rPr>
          <w:lang w:val="nl-BE"/>
        </w:rPr>
        <w:t>vs</w:t>
      </w:r>
      <w:proofErr w:type="spellEnd"/>
      <w:r w:rsidR="00EC1077">
        <w:rPr>
          <w:lang w:val="nl-BE"/>
        </w:rPr>
        <w:t xml:space="preserve"> een kleine 21%), maar voor een </w:t>
      </w:r>
      <w:proofErr w:type="spellStart"/>
      <w:r w:rsidR="00EC1077">
        <w:rPr>
          <w:lang w:val="nl-BE"/>
        </w:rPr>
        <w:t>patiënteel</w:t>
      </w:r>
      <w:proofErr w:type="spellEnd"/>
      <w:r w:rsidR="00EC1077">
        <w:rPr>
          <w:lang w:val="nl-BE"/>
        </w:rPr>
        <w:t xml:space="preserve"> in </w:t>
      </w:r>
      <w:proofErr w:type="spellStart"/>
      <w:r w:rsidR="00EC1077">
        <w:rPr>
          <w:lang w:val="nl-BE"/>
        </w:rPr>
        <w:t>Cavell</w:t>
      </w:r>
      <w:proofErr w:type="spellEnd"/>
      <w:r w:rsidR="00EC1077">
        <w:rPr>
          <w:lang w:val="nl-BE"/>
        </w:rPr>
        <w:t xml:space="preserve"> dat veel ouder is (34,4 jaar) en </w:t>
      </w:r>
      <w:r w:rsidR="00AB0C33">
        <w:rPr>
          <w:lang w:val="nl-BE"/>
        </w:rPr>
        <w:t xml:space="preserve">met </w:t>
      </w:r>
      <w:r w:rsidR="00EC1077">
        <w:rPr>
          <w:lang w:val="nl-BE"/>
        </w:rPr>
        <w:t xml:space="preserve">een beduidend </w:t>
      </w:r>
      <w:r w:rsidR="00392420">
        <w:rPr>
          <w:lang w:val="nl-BE"/>
        </w:rPr>
        <w:t xml:space="preserve">kleiner </w:t>
      </w:r>
      <w:r w:rsidR="00EC1077">
        <w:rPr>
          <w:lang w:val="nl-BE"/>
        </w:rPr>
        <w:t>aandeel</w:t>
      </w:r>
      <w:r w:rsidR="00392420">
        <w:rPr>
          <w:lang w:val="nl-BE"/>
        </w:rPr>
        <w:t xml:space="preserve"> vrouwen met</w:t>
      </w:r>
      <w:r w:rsidR="00EC1077">
        <w:rPr>
          <w:lang w:val="nl-BE"/>
        </w:rPr>
        <w:t xml:space="preserve"> voorkeurregeling (10% </w:t>
      </w:r>
      <w:proofErr w:type="spellStart"/>
      <w:r w:rsidR="00EC1077">
        <w:rPr>
          <w:lang w:val="nl-BE"/>
        </w:rPr>
        <w:t>vs</w:t>
      </w:r>
      <w:proofErr w:type="spellEnd"/>
      <w:r w:rsidR="00EC1077">
        <w:rPr>
          <w:lang w:val="nl-BE"/>
        </w:rPr>
        <w:t xml:space="preserve"> +/- 22%)</w:t>
      </w:r>
    </w:p>
    <w:p w:rsidR="00246209" w:rsidRDefault="00246209" w:rsidP="008F2575">
      <w:pPr>
        <w:spacing w:after="0"/>
        <w:rPr>
          <w:lang w:val="nl-BE"/>
        </w:rPr>
      </w:pPr>
      <w:r w:rsidRPr="00246209">
        <w:rPr>
          <w:noProof/>
        </w:rPr>
        <w:drawing>
          <wp:inline distT="0" distB="0" distL="0" distR="0" wp14:anchorId="4176D501" wp14:editId="06D64E2D">
            <wp:extent cx="5943600" cy="4298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429895"/>
                    </a:xfrm>
                    <a:prstGeom prst="rect">
                      <a:avLst/>
                    </a:prstGeom>
                  </pic:spPr>
                </pic:pic>
              </a:graphicData>
            </a:graphic>
          </wp:inline>
        </w:drawing>
      </w:r>
    </w:p>
    <w:p w:rsidR="00EC1077" w:rsidRDefault="00EC1077" w:rsidP="008F2575">
      <w:pPr>
        <w:spacing w:after="0"/>
        <w:rPr>
          <w:lang w:val="nl-BE"/>
        </w:rPr>
      </w:pPr>
    </w:p>
    <w:p w:rsidR="00EC1077" w:rsidRDefault="00EC1077" w:rsidP="008F2575">
      <w:pPr>
        <w:spacing w:after="0"/>
        <w:rPr>
          <w:u w:val="single"/>
          <w:lang w:val="nl-BE"/>
        </w:rPr>
      </w:pPr>
      <w:r>
        <w:rPr>
          <w:lang w:val="nl-BE"/>
        </w:rPr>
        <w:t>2.13</w:t>
      </w:r>
      <w:r>
        <w:rPr>
          <w:lang w:val="nl-BE"/>
        </w:rPr>
        <w:tab/>
      </w:r>
      <w:r w:rsidRPr="00EC1077">
        <w:rPr>
          <w:u w:val="single"/>
          <w:lang w:val="nl-BE"/>
        </w:rPr>
        <w:t>Tabellen 17 - Volume bevallingen 2008-2011 - Gemiddeld aandeel keizersneden</w:t>
      </w:r>
    </w:p>
    <w:p w:rsidR="00EC1077" w:rsidRDefault="00EC1077" w:rsidP="008F2575">
      <w:pPr>
        <w:spacing w:after="0"/>
        <w:rPr>
          <w:u w:val="single"/>
          <w:lang w:val="nl-BE"/>
        </w:rPr>
      </w:pPr>
    </w:p>
    <w:p w:rsidR="00EC1077" w:rsidRDefault="00EC1077" w:rsidP="008F2575">
      <w:pPr>
        <w:spacing w:after="0"/>
        <w:rPr>
          <w:lang w:val="nl-BE"/>
        </w:rPr>
      </w:pPr>
      <w:r>
        <w:rPr>
          <w:lang w:val="nl-BE"/>
        </w:rPr>
        <w:t>Tabel 17.1 geeft een overzicht van de (versnelde) daling van het aantal actieve gynaecologen tussen 2008 en 2011, waarbij een globale daling van 3,8% vastgesteld wordt, die vooral tussen 2010 en 2011 vorm krijgt.</w:t>
      </w:r>
    </w:p>
    <w:p w:rsidR="00EC1077" w:rsidRDefault="00EC1077" w:rsidP="008F2575">
      <w:pPr>
        <w:spacing w:after="0"/>
        <w:rPr>
          <w:lang w:val="nl-BE"/>
        </w:rPr>
      </w:pPr>
    </w:p>
    <w:p w:rsidR="00EC1077" w:rsidRDefault="00EC1077" w:rsidP="008F2575">
      <w:pPr>
        <w:spacing w:after="0"/>
        <w:rPr>
          <w:lang w:val="nl-BE"/>
        </w:rPr>
      </w:pPr>
      <w:r>
        <w:rPr>
          <w:lang w:val="nl-BE"/>
        </w:rPr>
        <w:t>Tabellen 17.2 en 17.3 kijken naar het globale volume aan geattesteerde bevallingen tussen 2008 en 2011 en verdeelt de gynaecologen in 10 groepen met ongeveer 10% van de geattesteerde bevallingen. Enerzijds betreft het de gynaecologen die over de periode 2008-2011 in alle jaren minstens 1 bevalling attesteerden, in de andere tabel gaat het om alle gynaecologen, ongeacht het feit of ze actief waren in alle vier de jaren.</w:t>
      </w:r>
    </w:p>
    <w:p w:rsidR="00EC1077" w:rsidRDefault="00EC1077" w:rsidP="008F2575">
      <w:pPr>
        <w:spacing w:after="0"/>
        <w:rPr>
          <w:lang w:val="nl-BE"/>
        </w:rPr>
      </w:pPr>
    </w:p>
    <w:p w:rsidR="00EC1077" w:rsidRDefault="00EC1077" w:rsidP="008F2575">
      <w:pPr>
        <w:spacing w:after="0"/>
        <w:rPr>
          <w:lang w:val="nl-BE"/>
        </w:rPr>
      </w:pPr>
      <w:r w:rsidRPr="00EC1077">
        <w:rPr>
          <w:noProof/>
        </w:rPr>
        <w:drawing>
          <wp:inline distT="0" distB="0" distL="0" distR="0" wp14:anchorId="6681BA69" wp14:editId="19D9327A">
            <wp:extent cx="4342857" cy="771429"/>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342857" cy="771429"/>
                    </a:xfrm>
                    <a:prstGeom prst="rect">
                      <a:avLst/>
                    </a:prstGeom>
                  </pic:spPr>
                </pic:pic>
              </a:graphicData>
            </a:graphic>
          </wp:inline>
        </w:drawing>
      </w:r>
    </w:p>
    <w:p w:rsidR="00AB0C33" w:rsidRDefault="00AB0C33" w:rsidP="008F2575">
      <w:pPr>
        <w:spacing w:after="0"/>
        <w:rPr>
          <w:lang w:val="nl-BE"/>
        </w:rPr>
      </w:pPr>
      <w:r>
        <w:rPr>
          <w:lang w:val="nl-BE"/>
        </w:rPr>
        <w:t>Zo stelt men vast (</w:t>
      </w:r>
      <w:r w:rsidR="005B2DBE">
        <w:rPr>
          <w:lang w:val="nl-BE"/>
        </w:rPr>
        <w:t xml:space="preserve">tabel </w:t>
      </w:r>
      <w:r>
        <w:rPr>
          <w:lang w:val="nl-BE"/>
        </w:rPr>
        <w:t>17.3) dat de 27 gynaecologen die in alle vier de jaren actief waren en het grootste cumulatief aantal bevallingen attesteerden, 2,8% van de 979 gynaecologen vertegenwoordigen die in de 4 jaar actief waren. Samen waren ze goed voor 45.091 bevallingen, waarvan 8.184 keizersneden, dus 18,1%. Gemiddeld over die 4 jaar waren ze goed voor 1.670 bevallingen per gynaecoloog en vertegenwoordigt dit 10,1% van al de geattesteerde bevallingen tussen 2008 en 2011.</w:t>
      </w:r>
    </w:p>
    <w:p w:rsidR="00AB0C33" w:rsidRDefault="00AB0C33" w:rsidP="008F2575">
      <w:pPr>
        <w:spacing w:after="0"/>
        <w:rPr>
          <w:lang w:val="nl-BE"/>
        </w:rPr>
      </w:pPr>
    </w:p>
    <w:p w:rsidR="00AB0C33" w:rsidRPr="00EC1077" w:rsidRDefault="00AB0C33" w:rsidP="00AB0C33">
      <w:pPr>
        <w:spacing w:after="0"/>
        <w:jc w:val="right"/>
        <w:rPr>
          <w:lang w:val="nl-BE"/>
        </w:rPr>
      </w:pPr>
      <w:r>
        <w:rPr>
          <w:lang w:val="nl-BE"/>
        </w:rPr>
        <w:t>Joeri Guillaume</w:t>
      </w:r>
    </w:p>
    <w:sectPr w:rsidR="00AB0C33" w:rsidRPr="00EC1077" w:rsidSect="00515FAC">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CFF" w:rsidRDefault="00DF6CFF" w:rsidP="00DF0EE0">
      <w:pPr>
        <w:spacing w:after="0" w:line="240" w:lineRule="auto"/>
      </w:pPr>
      <w:r>
        <w:separator/>
      </w:r>
    </w:p>
  </w:endnote>
  <w:endnote w:type="continuationSeparator" w:id="0">
    <w:p w:rsidR="00DF6CFF" w:rsidRDefault="00DF6CFF" w:rsidP="00DF0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3165555"/>
      <w:docPartObj>
        <w:docPartGallery w:val="Page Numbers (Bottom of Page)"/>
        <w:docPartUnique/>
      </w:docPartObj>
    </w:sdtPr>
    <w:sdtEndPr>
      <w:rPr>
        <w:noProof/>
      </w:rPr>
    </w:sdtEndPr>
    <w:sdtContent>
      <w:p w:rsidR="00847040" w:rsidRDefault="00847040">
        <w:pPr>
          <w:pStyle w:val="Footer"/>
          <w:jc w:val="right"/>
        </w:pPr>
        <w:r>
          <w:fldChar w:fldCharType="begin"/>
        </w:r>
        <w:r>
          <w:instrText xml:space="preserve"> PAGE   \* MERGEFORMAT </w:instrText>
        </w:r>
        <w:r>
          <w:fldChar w:fldCharType="separate"/>
        </w:r>
        <w:r w:rsidR="00A926C2">
          <w:rPr>
            <w:noProof/>
          </w:rPr>
          <w:t>10</w:t>
        </w:r>
        <w:r>
          <w:rPr>
            <w:noProof/>
          </w:rPr>
          <w:fldChar w:fldCharType="end"/>
        </w:r>
      </w:p>
    </w:sdtContent>
  </w:sdt>
  <w:p w:rsidR="00847040" w:rsidRDefault="008470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CFF" w:rsidRDefault="00DF6CFF" w:rsidP="00DF0EE0">
      <w:pPr>
        <w:spacing w:after="0" w:line="240" w:lineRule="auto"/>
      </w:pPr>
      <w:r>
        <w:separator/>
      </w:r>
    </w:p>
  </w:footnote>
  <w:footnote w:type="continuationSeparator" w:id="0">
    <w:p w:rsidR="00DF6CFF" w:rsidRDefault="00DF6CFF" w:rsidP="00DF0EE0">
      <w:pPr>
        <w:spacing w:after="0" w:line="240" w:lineRule="auto"/>
      </w:pPr>
      <w:r>
        <w:continuationSeparator/>
      </w:r>
    </w:p>
  </w:footnote>
  <w:footnote w:id="1">
    <w:p w:rsidR="000752EE" w:rsidRDefault="000752EE">
      <w:pPr>
        <w:pStyle w:val="FootnoteText"/>
      </w:pPr>
      <w:r>
        <w:rPr>
          <w:rStyle w:val="FootnoteReference"/>
        </w:rPr>
        <w:footnoteRef/>
      </w:r>
      <w:r>
        <w:t xml:space="preserve"> De ‘bis’-vermelding van de bijlagen 2012 verwijst naar de gelijkaardige bijlage </w:t>
      </w:r>
      <w:r w:rsidR="00B507B5">
        <w:t>met zelfde nummering voor de initiële bijlagen 2008-2011</w:t>
      </w:r>
    </w:p>
  </w:footnote>
  <w:footnote w:id="2">
    <w:p w:rsidR="005D5EEC" w:rsidRDefault="005D5EEC" w:rsidP="005D5EEC">
      <w:pPr>
        <w:pStyle w:val="FootnoteText"/>
      </w:pPr>
      <w:r>
        <w:rPr>
          <w:rStyle w:val="FootnoteReference"/>
        </w:rPr>
        <w:footnoteRef/>
      </w:r>
      <w:r>
        <w:t xml:space="preserve"> Met uitzondering van de tabellen 15, 16 en 17</w:t>
      </w:r>
    </w:p>
  </w:footnote>
  <w:footnote w:id="3">
    <w:p w:rsidR="00F91E10" w:rsidRPr="00F91E10" w:rsidRDefault="00F91E10">
      <w:pPr>
        <w:pStyle w:val="FootnoteText"/>
      </w:pPr>
      <w:r>
        <w:rPr>
          <w:rStyle w:val="FootnoteReference"/>
        </w:rPr>
        <w:footnoteRef/>
      </w:r>
      <w:r w:rsidRPr="00F91E10">
        <w:t xml:space="preserve"> De bijlagen x-bis geven dezelfde informatie als bijlage x, maar bijgewerkt voor 2012</w:t>
      </w:r>
    </w:p>
  </w:footnote>
  <w:footnote w:id="4">
    <w:p w:rsidR="00B507B5" w:rsidRDefault="00B507B5" w:rsidP="00B507B5">
      <w:pPr>
        <w:pStyle w:val="FootnoteText"/>
      </w:pPr>
      <w:r>
        <w:rPr>
          <w:rStyle w:val="FootnoteReference"/>
        </w:rPr>
        <w:footnoteRef/>
      </w:r>
      <w:r>
        <w:t xml:space="preserve"> De geneesm</w:t>
      </w:r>
      <w:bookmarkStart w:id="0" w:name="_GoBack"/>
      <w:bookmarkEnd w:id="0"/>
      <w:r>
        <w:t>iddelenconsumptie van de bevallen vrouw w</w:t>
      </w:r>
      <w:r w:rsidR="00E361E8">
        <w:t>erd</w:t>
      </w:r>
      <w:r>
        <w:t xml:space="preserve"> gedurende de zwangerschap geobserveerd en indien voor één van de geselecteerde ATC-klassen meer dan 90 DDD-consumptie vastgesteld wordt, wordt ervan uitgegaan dat de betrokkene aan de eraan gerelateerde (chronische) aandoening lijdt.</w:t>
      </w:r>
      <w:r w:rsidR="00E361E8">
        <w:t xml:space="preserve"> De absolute aantallen in de tabel hebben betrekking op omzeggens de helft van de  bevallingen in 2010, met name observatie van de zwangere vrouwen die tussen 1/4/2010 en 30/6/2010 of tussen 1/10/2010 en 31/12/2010 bevielen.</w:t>
      </w:r>
    </w:p>
  </w:footnote>
  <w:footnote w:id="5">
    <w:p w:rsidR="00D15392" w:rsidRDefault="00D15392">
      <w:pPr>
        <w:pStyle w:val="FootnoteText"/>
      </w:pPr>
      <w:r>
        <w:rPr>
          <w:rStyle w:val="FootnoteReference"/>
        </w:rPr>
        <w:footnoteRef/>
      </w:r>
      <w:r>
        <w:t xml:space="preserve"> Gynaecologen actief in meerdere materniteiten </w:t>
      </w:r>
      <w:r w:rsidR="003826BD">
        <w:t xml:space="preserve">zijn </w:t>
      </w:r>
      <w:r>
        <w:t>in deze bijlage dus even veel keer mee geteld als het aantal materniteiten waar ze actief zijn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235A3"/>
    <w:multiLevelType w:val="hybridMultilevel"/>
    <w:tmpl w:val="B77CC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DE38E3"/>
    <w:multiLevelType w:val="hybridMultilevel"/>
    <w:tmpl w:val="57283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E87965"/>
    <w:multiLevelType w:val="hybridMultilevel"/>
    <w:tmpl w:val="E9445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9B297A"/>
    <w:multiLevelType w:val="hybridMultilevel"/>
    <w:tmpl w:val="D31C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0B1056"/>
    <w:multiLevelType w:val="hybridMultilevel"/>
    <w:tmpl w:val="D1789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F92238"/>
    <w:multiLevelType w:val="hybridMultilevel"/>
    <w:tmpl w:val="F7BC7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6342CB"/>
    <w:multiLevelType w:val="hybridMultilevel"/>
    <w:tmpl w:val="4CA2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E33B63"/>
    <w:multiLevelType w:val="hybridMultilevel"/>
    <w:tmpl w:val="EBD6F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044563"/>
    <w:multiLevelType w:val="hybridMultilevel"/>
    <w:tmpl w:val="46F6A47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751B41"/>
    <w:multiLevelType w:val="hybridMultilevel"/>
    <w:tmpl w:val="60DC3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5923DE"/>
    <w:multiLevelType w:val="hybridMultilevel"/>
    <w:tmpl w:val="52AC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FA65BF"/>
    <w:multiLevelType w:val="hybridMultilevel"/>
    <w:tmpl w:val="3B545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9C0AF0"/>
    <w:multiLevelType w:val="hybridMultilevel"/>
    <w:tmpl w:val="98CE8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870434"/>
    <w:multiLevelType w:val="hybridMultilevel"/>
    <w:tmpl w:val="C324D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2B1160"/>
    <w:multiLevelType w:val="hybridMultilevel"/>
    <w:tmpl w:val="CB308B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DD42B4"/>
    <w:multiLevelType w:val="hybridMultilevel"/>
    <w:tmpl w:val="4D8EB59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nsid w:val="4BCE5C17"/>
    <w:multiLevelType w:val="hybridMultilevel"/>
    <w:tmpl w:val="30023B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07C6737"/>
    <w:multiLevelType w:val="hybridMultilevel"/>
    <w:tmpl w:val="CCE64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6C78C7"/>
    <w:multiLevelType w:val="hybridMultilevel"/>
    <w:tmpl w:val="8F0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C415F8"/>
    <w:multiLevelType w:val="hybridMultilevel"/>
    <w:tmpl w:val="02A60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BF1DD8"/>
    <w:multiLevelType w:val="hybridMultilevel"/>
    <w:tmpl w:val="3AD0A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4F42E2B"/>
    <w:multiLevelType w:val="hybridMultilevel"/>
    <w:tmpl w:val="E9424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4E6EB5"/>
    <w:multiLevelType w:val="hybridMultilevel"/>
    <w:tmpl w:val="E2A6A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A66E53"/>
    <w:multiLevelType w:val="hybridMultilevel"/>
    <w:tmpl w:val="4DCC0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2"/>
  </w:num>
  <w:num w:numId="4">
    <w:abstractNumId w:val="12"/>
  </w:num>
  <w:num w:numId="5">
    <w:abstractNumId w:val="16"/>
  </w:num>
  <w:num w:numId="6">
    <w:abstractNumId w:val="6"/>
  </w:num>
  <w:num w:numId="7">
    <w:abstractNumId w:val="19"/>
  </w:num>
  <w:num w:numId="8">
    <w:abstractNumId w:val="22"/>
  </w:num>
  <w:num w:numId="9">
    <w:abstractNumId w:val="1"/>
  </w:num>
  <w:num w:numId="10">
    <w:abstractNumId w:val="4"/>
  </w:num>
  <w:num w:numId="11">
    <w:abstractNumId w:val="21"/>
  </w:num>
  <w:num w:numId="12">
    <w:abstractNumId w:val="14"/>
  </w:num>
  <w:num w:numId="13">
    <w:abstractNumId w:val="8"/>
  </w:num>
  <w:num w:numId="14">
    <w:abstractNumId w:val="7"/>
  </w:num>
  <w:num w:numId="15">
    <w:abstractNumId w:val="17"/>
  </w:num>
  <w:num w:numId="16">
    <w:abstractNumId w:val="15"/>
  </w:num>
  <w:num w:numId="17">
    <w:abstractNumId w:val="5"/>
  </w:num>
  <w:num w:numId="18">
    <w:abstractNumId w:val="0"/>
  </w:num>
  <w:num w:numId="19">
    <w:abstractNumId w:val="3"/>
  </w:num>
  <w:num w:numId="20">
    <w:abstractNumId w:val="23"/>
  </w:num>
  <w:num w:numId="21">
    <w:abstractNumId w:val="18"/>
  </w:num>
  <w:num w:numId="22">
    <w:abstractNumId w:val="10"/>
  </w:num>
  <w:num w:numId="23">
    <w:abstractNumId w:val="11"/>
  </w:num>
  <w:num w:numId="24">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338"/>
    <w:rsid w:val="00001E19"/>
    <w:rsid w:val="00012432"/>
    <w:rsid w:val="00015045"/>
    <w:rsid w:val="00016433"/>
    <w:rsid w:val="00024F8C"/>
    <w:rsid w:val="00025ACD"/>
    <w:rsid w:val="00031B96"/>
    <w:rsid w:val="0003218C"/>
    <w:rsid w:val="00036C6A"/>
    <w:rsid w:val="000444BB"/>
    <w:rsid w:val="00044DA0"/>
    <w:rsid w:val="0004501A"/>
    <w:rsid w:val="00045275"/>
    <w:rsid w:val="00053080"/>
    <w:rsid w:val="0005675C"/>
    <w:rsid w:val="00064A5A"/>
    <w:rsid w:val="0006729B"/>
    <w:rsid w:val="00071409"/>
    <w:rsid w:val="00071840"/>
    <w:rsid w:val="000752EE"/>
    <w:rsid w:val="0007782D"/>
    <w:rsid w:val="000817BA"/>
    <w:rsid w:val="00081FF3"/>
    <w:rsid w:val="0008447C"/>
    <w:rsid w:val="000A4286"/>
    <w:rsid w:val="000A5312"/>
    <w:rsid w:val="000A68C3"/>
    <w:rsid w:val="000B034A"/>
    <w:rsid w:val="000B2FA5"/>
    <w:rsid w:val="000B531B"/>
    <w:rsid w:val="000B7200"/>
    <w:rsid w:val="000C1277"/>
    <w:rsid w:val="000C3984"/>
    <w:rsid w:val="000C3AF8"/>
    <w:rsid w:val="000D3B58"/>
    <w:rsid w:val="000E2BDA"/>
    <w:rsid w:val="000E7EA9"/>
    <w:rsid w:val="000F0766"/>
    <w:rsid w:val="000F2296"/>
    <w:rsid w:val="000F6B25"/>
    <w:rsid w:val="00101ABF"/>
    <w:rsid w:val="00110564"/>
    <w:rsid w:val="00111A54"/>
    <w:rsid w:val="00117196"/>
    <w:rsid w:val="0012372E"/>
    <w:rsid w:val="00124CD3"/>
    <w:rsid w:val="001253C1"/>
    <w:rsid w:val="00127A4C"/>
    <w:rsid w:val="001317E2"/>
    <w:rsid w:val="0015116F"/>
    <w:rsid w:val="001557CC"/>
    <w:rsid w:val="00157A52"/>
    <w:rsid w:val="00160752"/>
    <w:rsid w:val="00161AC0"/>
    <w:rsid w:val="001623E5"/>
    <w:rsid w:val="001624E3"/>
    <w:rsid w:val="00162C46"/>
    <w:rsid w:val="0016354B"/>
    <w:rsid w:val="0017606F"/>
    <w:rsid w:val="00176CC8"/>
    <w:rsid w:val="00177A7B"/>
    <w:rsid w:val="0018203C"/>
    <w:rsid w:val="001824E3"/>
    <w:rsid w:val="0018381F"/>
    <w:rsid w:val="00191E42"/>
    <w:rsid w:val="00193052"/>
    <w:rsid w:val="001B2E0D"/>
    <w:rsid w:val="001B37F3"/>
    <w:rsid w:val="001B4B4D"/>
    <w:rsid w:val="001C0C76"/>
    <w:rsid w:val="001D393D"/>
    <w:rsid w:val="001D6C00"/>
    <w:rsid w:val="001D7104"/>
    <w:rsid w:val="001E4776"/>
    <w:rsid w:val="001E55A4"/>
    <w:rsid w:val="001E7FD9"/>
    <w:rsid w:val="001F3A3C"/>
    <w:rsid w:val="001F4508"/>
    <w:rsid w:val="001F50EF"/>
    <w:rsid w:val="001F6B99"/>
    <w:rsid w:val="001F7344"/>
    <w:rsid w:val="001F7747"/>
    <w:rsid w:val="00201AC0"/>
    <w:rsid w:val="002026D5"/>
    <w:rsid w:val="00204A63"/>
    <w:rsid w:val="0020556F"/>
    <w:rsid w:val="0020605D"/>
    <w:rsid w:val="0021042B"/>
    <w:rsid w:val="00210D11"/>
    <w:rsid w:val="002114E0"/>
    <w:rsid w:val="00212029"/>
    <w:rsid w:val="002122BD"/>
    <w:rsid w:val="002172E1"/>
    <w:rsid w:val="00217A98"/>
    <w:rsid w:val="00221299"/>
    <w:rsid w:val="00221F2D"/>
    <w:rsid w:val="00236D70"/>
    <w:rsid w:val="00246209"/>
    <w:rsid w:val="002559FA"/>
    <w:rsid w:val="002627C8"/>
    <w:rsid w:val="00263D68"/>
    <w:rsid w:val="00265C75"/>
    <w:rsid w:val="00270013"/>
    <w:rsid w:val="0027035F"/>
    <w:rsid w:val="00271F03"/>
    <w:rsid w:val="002800D0"/>
    <w:rsid w:val="002839FA"/>
    <w:rsid w:val="002874A9"/>
    <w:rsid w:val="00290BD8"/>
    <w:rsid w:val="00291221"/>
    <w:rsid w:val="002918AA"/>
    <w:rsid w:val="002A037D"/>
    <w:rsid w:val="002A2882"/>
    <w:rsid w:val="002A4166"/>
    <w:rsid w:val="002A5842"/>
    <w:rsid w:val="002B2EBD"/>
    <w:rsid w:val="002B6D8C"/>
    <w:rsid w:val="002C3852"/>
    <w:rsid w:val="002C502D"/>
    <w:rsid w:val="002C73A9"/>
    <w:rsid w:val="002D0FA4"/>
    <w:rsid w:val="002D140E"/>
    <w:rsid w:val="002D79E0"/>
    <w:rsid w:val="002E09D6"/>
    <w:rsid w:val="002E120C"/>
    <w:rsid w:val="002E21C4"/>
    <w:rsid w:val="002E2806"/>
    <w:rsid w:val="002E3065"/>
    <w:rsid w:val="002F0B2E"/>
    <w:rsid w:val="002F4AF2"/>
    <w:rsid w:val="002F4EEC"/>
    <w:rsid w:val="002F57C8"/>
    <w:rsid w:val="002F7C0A"/>
    <w:rsid w:val="003028C8"/>
    <w:rsid w:val="00311D8E"/>
    <w:rsid w:val="00312E1D"/>
    <w:rsid w:val="0031435D"/>
    <w:rsid w:val="00314BB0"/>
    <w:rsid w:val="0031630B"/>
    <w:rsid w:val="0032031C"/>
    <w:rsid w:val="00322C47"/>
    <w:rsid w:val="0032474E"/>
    <w:rsid w:val="00327D41"/>
    <w:rsid w:val="0033385D"/>
    <w:rsid w:val="003442C8"/>
    <w:rsid w:val="00347D53"/>
    <w:rsid w:val="00352ED7"/>
    <w:rsid w:val="00357293"/>
    <w:rsid w:val="00360EA9"/>
    <w:rsid w:val="00367696"/>
    <w:rsid w:val="00370E9A"/>
    <w:rsid w:val="00375602"/>
    <w:rsid w:val="003826BD"/>
    <w:rsid w:val="0038409C"/>
    <w:rsid w:val="00385257"/>
    <w:rsid w:val="003912BB"/>
    <w:rsid w:val="0039189E"/>
    <w:rsid w:val="00392420"/>
    <w:rsid w:val="00393143"/>
    <w:rsid w:val="003A252E"/>
    <w:rsid w:val="003A257F"/>
    <w:rsid w:val="003A5172"/>
    <w:rsid w:val="003B02A3"/>
    <w:rsid w:val="003B05B6"/>
    <w:rsid w:val="003B612C"/>
    <w:rsid w:val="003C5EA1"/>
    <w:rsid w:val="003C70E1"/>
    <w:rsid w:val="003D26CB"/>
    <w:rsid w:val="003D51D4"/>
    <w:rsid w:val="003D51EE"/>
    <w:rsid w:val="003D6249"/>
    <w:rsid w:val="003E1778"/>
    <w:rsid w:val="003F3733"/>
    <w:rsid w:val="003F4E38"/>
    <w:rsid w:val="003F680A"/>
    <w:rsid w:val="003F6BE2"/>
    <w:rsid w:val="00401D05"/>
    <w:rsid w:val="004065E3"/>
    <w:rsid w:val="00406ED2"/>
    <w:rsid w:val="00410666"/>
    <w:rsid w:val="00413139"/>
    <w:rsid w:val="004148DD"/>
    <w:rsid w:val="004212DB"/>
    <w:rsid w:val="00430735"/>
    <w:rsid w:val="00431B55"/>
    <w:rsid w:val="00431FAC"/>
    <w:rsid w:val="00435192"/>
    <w:rsid w:val="00437252"/>
    <w:rsid w:val="00451216"/>
    <w:rsid w:val="00452850"/>
    <w:rsid w:val="00453947"/>
    <w:rsid w:val="0045602A"/>
    <w:rsid w:val="00457E28"/>
    <w:rsid w:val="0046173F"/>
    <w:rsid w:val="004638D3"/>
    <w:rsid w:val="00465470"/>
    <w:rsid w:val="004663D3"/>
    <w:rsid w:val="004666F8"/>
    <w:rsid w:val="0046752C"/>
    <w:rsid w:val="00472EAC"/>
    <w:rsid w:val="00473E42"/>
    <w:rsid w:val="004759A2"/>
    <w:rsid w:val="00480FD2"/>
    <w:rsid w:val="00481437"/>
    <w:rsid w:val="0048171C"/>
    <w:rsid w:val="0048312A"/>
    <w:rsid w:val="0048475D"/>
    <w:rsid w:val="004858F7"/>
    <w:rsid w:val="0048636E"/>
    <w:rsid w:val="004925C0"/>
    <w:rsid w:val="0049323F"/>
    <w:rsid w:val="004945DF"/>
    <w:rsid w:val="00496811"/>
    <w:rsid w:val="004A630A"/>
    <w:rsid w:val="004A69AB"/>
    <w:rsid w:val="004B1CE4"/>
    <w:rsid w:val="004C4D94"/>
    <w:rsid w:val="004C5B7D"/>
    <w:rsid w:val="004C5E6C"/>
    <w:rsid w:val="004C6B9A"/>
    <w:rsid w:val="004C7C27"/>
    <w:rsid w:val="004D4436"/>
    <w:rsid w:val="004E6DBF"/>
    <w:rsid w:val="005026EC"/>
    <w:rsid w:val="005135D6"/>
    <w:rsid w:val="00515FAC"/>
    <w:rsid w:val="005160B5"/>
    <w:rsid w:val="005169D8"/>
    <w:rsid w:val="0052075B"/>
    <w:rsid w:val="005324CC"/>
    <w:rsid w:val="00532CA9"/>
    <w:rsid w:val="005371C2"/>
    <w:rsid w:val="005415FB"/>
    <w:rsid w:val="00545AEE"/>
    <w:rsid w:val="00545B70"/>
    <w:rsid w:val="00554B85"/>
    <w:rsid w:val="00554F00"/>
    <w:rsid w:val="005601D8"/>
    <w:rsid w:val="00561AF5"/>
    <w:rsid w:val="0057091A"/>
    <w:rsid w:val="005736CF"/>
    <w:rsid w:val="00573AAF"/>
    <w:rsid w:val="00573D6F"/>
    <w:rsid w:val="00576599"/>
    <w:rsid w:val="00581A5F"/>
    <w:rsid w:val="00584895"/>
    <w:rsid w:val="005865F9"/>
    <w:rsid w:val="005902B0"/>
    <w:rsid w:val="00590318"/>
    <w:rsid w:val="00591A26"/>
    <w:rsid w:val="005948D7"/>
    <w:rsid w:val="0059571B"/>
    <w:rsid w:val="00595F51"/>
    <w:rsid w:val="005A0952"/>
    <w:rsid w:val="005A0B80"/>
    <w:rsid w:val="005A1873"/>
    <w:rsid w:val="005A2DAF"/>
    <w:rsid w:val="005A2DCF"/>
    <w:rsid w:val="005A378A"/>
    <w:rsid w:val="005A4E31"/>
    <w:rsid w:val="005A5580"/>
    <w:rsid w:val="005A5718"/>
    <w:rsid w:val="005B2DBE"/>
    <w:rsid w:val="005B3C21"/>
    <w:rsid w:val="005B4FE7"/>
    <w:rsid w:val="005B6632"/>
    <w:rsid w:val="005C3487"/>
    <w:rsid w:val="005C4A74"/>
    <w:rsid w:val="005C791A"/>
    <w:rsid w:val="005D08DF"/>
    <w:rsid w:val="005D34D3"/>
    <w:rsid w:val="005D5EEC"/>
    <w:rsid w:val="005D6B02"/>
    <w:rsid w:val="005E0110"/>
    <w:rsid w:val="005E2AD7"/>
    <w:rsid w:val="005E3D8A"/>
    <w:rsid w:val="005E4B1A"/>
    <w:rsid w:val="005F16EF"/>
    <w:rsid w:val="005F2777"/>
    <w:rsid w:val="00604F09"/>
    <w:rsid w:val="00606337"/>
    <w:rsid w:val="0060792C"/>
    <w:rsid w:val="0061371B"/>
    <w:rsid w:val="00621393"/>
    <w:rsid w:val="00640046"/>
    <w:rsid w:val="0064390A"/>
    <w:rsid w:val="00650ADD"/>
    <w:rsid w:val="0065122E"/>
    <w:rsid w:val="00652071"/>
    <w:rsid w:val="0065743E"/>
    <w:rsid w:val="0066061B"/>
    <w:rsid w:val="00661C58"/>
    <w:rsid w:val="006628CC"/>
    <w:rsid w:val="006730F9"/>
    <w:rsid w:val="00681E93"/>
    <w:rsid w:val="00686F16"/>
    <w:rsid w:val="00687BF8"/>
    <w:rsid w:val="00694E13"/>
    <w:rsid w:val="0069581B"/>
    <w:rsid w:val="006A37B3"/>
    <w:rsid w:val="006A3D68"/>
    <w:rsid w:val="006B0772"/>
    <w:rsid w:val="006B1BB5"/>
    <w:rsid w:val="006B1F87"/>
    <w:rsid w:val="006B709E"/>
    <w:rsid w:val="006C01A8"/>
    <w:rsid w:val="006C29A3"/>
    <w:rsid w:val="006C3437"/>
    <w:rsid w:val="006C5D37"/>
    <w:rsid w:val="006E0627"/>
    <w:rsid w:val="006E07F7"/>
    <w:rsid w:val="006E0E3C"/>
    <w:rsid w:val="006E30D8"/>
    <w:rsid w:val="006E7971"/>
    <w:rsid w:val="006F009D"/>
    <w:rsid w:val="007023A6"/>
    <w:rsid w:val="007038C2"/>
    <w:rsid w:val="00717795"/>
    <w:rsid w:val="0072564D"/>
    <w:rsid w:val="007360A8"/>
    <w:rsid w:val="00740CCD"/>
    <w:rsid w:val="00744FE3"/>
    <w:rsid w:val="00746BD2"/>
    <w:rsid w:val="00747E5C"/>
    <w:rsid w:val="00750555"/>
    <w:rsid w:val="007632A1"/>
    <w:rsid w:val="00773893"/>
    <w:rsid w:val="00785532"/>
    <w:rsid w:val="007A3D6D"/>
    <w:rsid w:val="007A4DFA"/>
    <w:rsid w:val="007A6890"/>
    <w:rsid w:val="007C0A9D"/>
    <w:rsid w:val="007C14EB"/>
    <w:rsid w:val="007C5C95"/>
    <w:rsid w:val="007D5AE8"/>
    <w:rsid w:val="007D6B46"/>
    <w:rsid w:val="007D7A9D"/>
    <w:rsid w:val="007E088F"/>
    <w:rsid w:val="007E28F2"/>
    <w:rsid w:val="007E311A"/>
    <w:rsid w:val="007E4A8A"/>
    <w:rsid w:val="007E5658"/>
    <w:rsid w:val="007E5E4D"/>
    <w:rsid w:val="007E7B93"/>
    <w:rsid w:val="007F5E29"/>
    <w:rsid w:val="0080277C"/>
    <w:rsid w:val="00806559"/>
    <w:rsid w:val="00811228"/>
    <w:rsid w:val="008139D5"/>
    <w:rsid w:val="008140BE"/>
    <w:rsid w:val="00820D1F"/>
    <w:rsid w:val="0082751C"/>
    <w:rsid w:val="00827615"/>
    <w:rsid w:val="00834648"/>
    <w:rsid w:val="00835FCC"/>
    <w:rsid w:val="00836C59"/>
    <w:rsid w:val="00843C63"/>
    <w:rsid w:val="00847040"/>
    <w:rsid w:val="00853B63"/>
    <w:rsid w:val="0085434C"/>
    <w:rsid w:val="008618E8"/>
    <w:rsid w:val="00867934"/>
    <w:rsid w:val="00867A33"/>
    <w:rsid w:val="00870722"/>
    <w:rsid w:val="0087313A"/>
    <w:rsid w:val="00883B83"/>
    <w:rsid w:val="00885EB0"/>
    <w:rsid w:val="00891BEC"/>
    <w:rsid w:val="0089311D"/>
    <w:rsid w:val="008934C8"/>
    <w:rsid w:val="00896883"/>
    <w:rsid w:val="008A035E"/>
    <w:rsid w:val="008A0D3F"/>
    <w:rsid w:val="008A1C22"/>
    <w:rsid w:val="008A48AD"/>
    <w:rsid w:val="008A5753"/>
    <w:rsid w:val="008A77A0"/>
    <w:rsid w:val="008B2851"/>
    <w:rsid w:val="008B33B3"/>
    <w:rsid w:val="008B74FC"/>
    <w:rsid w:val="008C0F7F"/>
    <w:rsid w:val="008C38B4"/>
    <w:rsid w:val="008C5AC4"/>
    <w:rsid w:val="008D0E06"/>
    <w:rsid w:val="008D3D98"/>
    <w:rsid w:val="008D4B2F"/>
    <w:rsid w:val="008D5393"/>
    <w:rsid w:val="008E06C5"/>
    <w:rsid w:val="008E1226"/>
    <w:rsid w:val="008E476D"/>
    <w:rsid w:val="008E602A"/>
    <w:rsid w:val="008E6E18"/>
    <w:rsid w:val="008E708E"/>
    <w:rsid w:val="008F22A4"/>
    <w:rsid w:val="008F2575"/>
    <w:rsid w:val="008F6959"/>
    <w:rsid w:val="0090396C"/>
    <w:rsid w:val="00905D9C"/>
    <w:rsid w:val="00911B1B"/>
    <w:rsid w:val="009177A8"/>
    <w:rsid w:val="00920B03"/>
    <w:rsid w:val="00920B80"/>
    <w:rsid w:val="0092144D"/>
    <w:rsid w:val="0092419E"/>
    <w:rsid w:val="00924F10"/>
    <w:rsid w:val="0092679D"/>
    <w:rsid w:val="009306D0"/>
    <w:rsid w:val="00937560"/>
    <w:rsid w:val="00937D31"/>
    <w:rsid w:val="00941F1A"/>
    <w:rsid w:val="009557C5"/>
    <w:rsid w:val="009619F6"/>
    <w:rsid w:val="0096486B"/>
    <w:rsid w:val="00967EB3"/>
    <w:rsid w:val="0097720C"/>
    <w:rsid w:val="009861C4"/>
    <w:rsid w:val="0099042A"/>
    <w:rsid w:val="009918B4"/>
    <w:rsid w:val="00993ABE"/>
    <w:rsid w:val="00993AFC"/>
    <w:rsid w:val="00995BF4"/>
    <w:rsid w:val="009A01D2"/>
    <w:rsid w:val="009A70C9"/>
    <w:rsid w:val="009A7F87"/>
    <w:rsid w:val="009B4289"/>
    <w:rsid w:val="009B4B6D"/>
    <w:rsid w:val="009B6883"/>
    <w:rsid w:val="009C1A3A"/>
    <w:rsid w:val="009C3788"/>
    <w:rsid w:val="009C733C"/>
    <w:rsid w:val="009D0D5D"/>
    <w:rsid w:val="009D60E7"/>
    <w:rsid w:val="009D7164"/>
    <w:rsid w:val="009E0FFE"/>
    <w:rsid w:val="009E3725"/>
    <w:rsid w:val="009E3727"/>
    <w:rsid w:val="009E5EE1"/>
    <w:rsid w:val="009E764F"/>
    <w:rsid w:val="009F008D"/>
    <w:rsid w:val="009F1705"/>
    <w:rsid w:val="009F487D"/>
    <w:rsid w:val="009F7A25"/>
    <w:rsid w:val="00A01737"/>
    <w:rsid w:val="00A14670"/>
    <w:rsid w:val="00A163F7"/>
    <w:rsid w:val="00A16D6C"/>
    <w:rsid w:val="00A218D2"/>
    <w:rsid w:val="00A25863"/>
    <w:rsid w:val="00A26BBA"/>
    <w:rsid w:val="00A327E9"/>
    <w:rsid w:val="00A36B12"/>
    <w:rsid w:val="00A4011C"/>
    <w:rsid w:val="00A423EC"/>
    <w:rsid w:val="00A433E2"/>
    <w:rsid w:val="00A50243"/>
    <w:rsid w:val="00A65D12"/>
    <w:rsid w:val="00A67104"/>
    <w:rsid w:val="00A737EE"/>
    <w:rsid w:val="00A826DD"/>
    <w:rsid w:val="00A836B7"/>
    <w:rsid w:val="00A926C2"/>
    <w:rsid w:val="00A93B00"/>
    <w:rsid w:val="00A9489C"/>
    <w:rsid w:val="00A9577C"/>
    <w:rsid w:val="00A97BBD"/>
    <w:rsid w:val="00AA3223"/>
    <w:rsid w:val="00AA7728"/>
    <w:rsid w:val="00AB003E"/>
    <w:rsid w:val="00AB0C33"/>
    <w:rsid w:val="00AB30A2"/>
    <w:rsid w:val="00AB4C9D"/>
    <w:rsid w:val="00AC0460"/>
    <w:rsid w:val="00AC0D7D"/>
    <w:rsid w:val="00AC2FB8"/>
    <w:rsid w:val="00AC340D"/>
    <w:rsid w:val="00AC41C6"/>
    <w:rsid w:val="00AD561B"/>
    <w:rsid w:val="00AE127A"/>
    <w:rsid w:val="00AE184D"/>
    <w:rsid w:val="00AE33ED"/>
    <w:rsid w:val="00AF0BC1"/>
    <w:rsid w:val="00AF1A8E"/>
    <w:rsid w:val="00AF2D2B"/>
    <w:rsid w:val="00AF7997"/>
    <w:rsid w:val="00B071B0"/>
    <w:rsid w:val="00B1083C"/>
    <w:rsid w:val="00B13F23"/>
    <w:rsid w:val="00B1556B"/>
    <w:rsid w:val="00B23BA2"/>
    <w:rsid w:val="00B23DBA"/>
    <w:rsid w:val="00B24FD1"/>
    <w:rsid w:val="00B25EAA"/>
    <w:rsid w:val="00B30779"/>
    <w:rsid w:val="00B35E0D"/>
    <w:rsid w:val="00B3618E"/>
    <w:rsid w:val="00B44FD0"/>
    <w:rsid w:val="00B50687"/>
    <w:rsid w:val="00B507B5"/>
    <w:rsid w:val="00B50EB8"/>
    <w:rsid w:val="00B51A78"/>
    <w:rsid w:val="00B51B02"/>
    <w:rsid w:val="00B55DBF"/>
    <w:rsid w:val="00B56BB0"/>
    <w:rsid w:val="00B6091F"/>
    <w:rsid w:val="00B617A7"/>
    <w:rsid w:val="00B63CA0"/>
    <w:rsid w:val="00B64FB6"/>
    <w:rsid w:val="00B70147"/>
    <w:rsid w:val="00B71FD8"/>
    <w:rsid w:val="00B8762C"/>
    <w:rsid w:val="00B87F73"/>
    <w:rsid w:val="00B90CDD"/>
    <w:rsid w:val="00B93BA2"/>
    <w:rsid w:val="00B954B2"/>
    <w:rsid w:val="00B95C26"/>
    <w:rsid w:val="00BB13D5"/>
    <w:rsid w:val="00BC3B2D"/>
    <w:rsid w:val="00BC5B38"/>
    <w:rsid w:val="00BC768A"/>
    <w:rsid w:val="00BD1400"/>
    <w:rsid w:val="00BD3CEB"/>
    <w:rsid w:val="00BD459A"/>
    <w:rsid w:val="00BD7B48"/>
    <w:rsid w:val="00BE16B2"/>
    <w:rsid w:val="00BF12CD"/>
    <w:rsid w:val="00BF2697"/>
    <w:rsid w:val="00BF2DF0"/>
    <w:rsid w:val="00BF39E8"/>
    <w:rsid w:val="00C01A23"/>
    <w:rsid w:val="00C03E93"/>
    <w:rsid w:val="00C07537"/>
    <w:rsid w:val="00C07AC0"/>
    <w:rsid w:val="00C112B0"/>
    <w:rsid w:val="00C113C6"/>
    <w:rsid w:val="00C129D7"/>
    <w:rsid w:val="00C13C32"/>
    <w:rsid w:val="00C17310"/>
    <w:rsid w:val="00C17CB2"/>
    <w:rsid w:val="00C34A0D"/>
    <w:rsid w:val="00C36459"/>
    <w:rsid w:val="00C411A9"/>
    <w:rsid w:val="00C41B3B"/>
    <w:rsid w:val="00C45F8B"/>
    <w:rsid w:val="00C519B6"/>
    <w:rsid w:val="00C5410B"/>
    <w:rsid w:val="00C545F7"/>
    <w:rsid w:val="00C5669F"/>
    <w:rsid w:val="00C57942"/>
    <w:rsid w:val="00C63FCF"/>
    <w:rsid w:val="00C65EAE"/>
    <w:rsid w:val="00C679ED"/>
    <w:rsid w:val="00C72945"/>
    <w:rsid w:val="00C75D8F"/>
    <w:rsid w:val="00C77CD3"/>
    <w:rsid w:val="00C87AD4"/>
    <w:rsid w:val="00C911E8"/>
    <w:rsid w:val="00C934F4"/>
    <w:rsid w:val="00C94EA0"/>
    <w:rsid w:val="00CC2906"/>
    <w:rsid w:val="00CC36BA"/>
    <w:rsid w:val="00CC422A"/>
    <w:rsid w:val="00CC56DA"/>
    <w:rsid w:val="00CC641D"/>
    <w:rsid w:val="00CC7D81"/>
    <w:rsid w:val="00CD1E71"/>
    <w:rsid w:val="00CD23C3"/>
    <w:rsid w:val="00CD5E01"/>
    <w:rsid w:val="00CD6323"/>
    <w:rsid w:val="00CE2AF1"/>
    <w:rsid w:val="00CE3C74"/>
    <w:rsid w:val="00CE45B4"/>
    <w:rsid w:val="00CF08EE"/>
    <w:rsid w:val="00CF160A"/>
    <w:rsid w:val="00CF7DE0"/>
    <w:rsid w:val="00D000AE"/>
    <w:rsid w:val="00D0354C"/>
    <w:rsid w:val="00D03E07"/>
    <w:rsid w:val="00D0447C"/>
    <w:rsid w:val="00D10789"/>
    <w:rsid w:val="00D10A7E"/>
    <w:rsid w:val="00D10ABE"/>
    <w:rsid w:val="00D1159D"/>
    <w:rsid w:val="00D13C83"/>
    <w:rsid w:val="00D15392"/>
    <w:rsid w:val="00D15D64"/>
    <w:rsid w:val="00D25C12"/>
    <w:rsid w:val="00D264D5"/>
    <w:rsid w:val="00D31CEB"/>
    <w:rsid w:val="00D355AC"/>
    <w:rsid w:val="00D375F3"/>
    <w:rsid w:val="00D37ACC"/>
    <w:rsid w:val="00D41ECD"/>
    <w:rsid w:val="00D42FF3"/>
    <w:rsid w:val="00D458AB"/>
    <w:rsid w:val="00D521A8"/>
    <w:rsid w:val="00D579B9"/>
    <w:rsid w:val="00D6025F"/>
    <w:rsid w:val="00D613CF"/>
    <w:rsid w:val="00D61B46"/>
    <w:rsid w:val="00D71536"/>
    <w:rsid w:val="00D7190C"/>
    <w:rsid w:val="00D71B85"/>
    <w:rsid w:val="00D76BA3"/>
    <w:rsid w:val="00D77DF6"/>
    <w:rsid w:val="00D80359"/>
    <w:rsid w:val="00D806AE"/>
    <w:rsid w:val="00D81F64"/>
    <w:rsid w:val="00D8447E"/>
    <w:rsid w:val="00D902DC"/>
    <w:rsid w:val="00D90971"/>
    <w:rsid w:val="00D92083"/>
    <w:rsid w:val="00D94B2A"/>
    <w:rsid w:val="00D9523D"/>
    <w:rsid w:val="00D958C8"/>
    <w:rsid w:val="00D96047"/>
    <w:rsid w:val="00DA0FA3"/>
    <w:rsid w:val="00DA3287"/>
    <w:rsid w:val="00DA3584"/>
    <w:rsid w:val="00DA49E6"/>
    <w:rsid w:val="00DA612D"/>
    <w:rsid w:val="00DB4E4C"/>
    <w:rsid w:val="00DB4F17"/>
    <w:rsid w:val="00DC70D9"/>
    <w:rsid w:val="00DD1001"/>
    <w:rsid w:val="00DD2648"/>
    <w:rsid w:val="00DE05A6"/>
    <w:rsid w:val="00DE06DF"/>
    <w:rsid w:val="00DF0EE0"/>
    <w:rsid w:val="00DF3AA6"/>
    <w:rsid w:val="00DF60E9"/>
    <w:rsid w:val="00DF6CFF"/>
    <w:rsid w:val="00E004C9"/>
    <w:rsid w:val="00E036DF"/>
    <w:rsid w:val="00E03E78"/>
    <w:rsid w:val="00E059EF"/>
    <w:rsid w:val="00E07303"/>
    <w:rsid w:val="00E134A7"/>
    <w:rsid w:val="00E170A9"/>
    <w:rsid w:val="00E25088"/>
    <w:rsid w:val="00E271CC"/>
    <w:rsid w:val="00E311CF"/>
    <w:rsid w:val="00E329A1"/>
    <w:rsid w:val="00E3497C"/>
    <w:rsid w:val="00E361E8"/>
    <w:rsid w:val="00E365BA"/>
    <w:rsid w:val="00E42E9E"/>
    <w:rsid w:val="00E510A0"/>
    <w:rsid w:val="00E5144A"/>
    <w:rsid w:val="00E5199F"/>
    <w:rsid w:val="00E55B5C"/>
    <w:rsid w:val="00E561BD"/>
    <w:rsid w:val="00E61C69"/>
    <w:rsid w:val="00E65990"/>
    <w:rsid w:val="00E70A57"/>
    <w:rsid w:val="00E711E2"/>
    <w:rsid w:val="00E713EF"/>
    <w:rsid w:val="00E75B50"/>
    <w:rsid w:val="00E77FF6"/>
    <w:rsid w:val="00E806BE"/>
    <w:rsid w:val="00E84D70"/>
    <w:rsid w:val="00E90C69"/>
    <w:rsid w:val="00E9527E"/>
    <w:rsid w:val="00EA12E6"/>
    <w:rsid w:val="00EA37E9"/>
    <w:rsid w:val="00EA735E"/>
    <w:rsid w:val="00EB1C66"/>
    <w:rsid w:val="00EC1077"/>
    <w:rsid w:val="00EC2FEE"/>
    <w:rsid w:val="00EC7C34"/>
    <w:rsid w:val="00ED26CD"/>
    <w:rsid w:val="00ED465D"/>
    <w:rsid w:val="00EF4C57"/>
    <w:rsid w:val="00F0098A"/>
    <w:rsid w:val="00F01101"/>
    <w:rsid w:val="00F011D3"/>
    <w:rsid w:val="00F01709"/>
    <w:rsid w:val="00F049B3"/>
    <w:rsid w:val="00F05E54"/>
    <w:rsid w:val="00F126B9"/>
    <w:rsid w:val="00F140A6"/>
    <w:rsid w:val="00F15DA4"/>
    <w:rsid w:val="00F20702"/>
    <w:rsid w:val="00F25E8A"/>
    <w:rsid w:val="00F2635C"/>
    <w:rsid w:val="00F31AE3"/>
    <w:rsid w:val="00F33471"/>
    <w:rsid w:val="00F346C8"/>
    <w:rsid w:val="00F36407"/>
    <w:rsid w:val="00F410EC"/>
    <w:rsid w:val="00F438AF"/>
    <w:rsid w:val="00F44E1F"/>
    <w:rsid w:val="00F474C7"/>
    <w:rsid w:val="00F56ABD"/>
    <w:rsid w:val="00F61207"/>
    <w:rsid w:val="00F652C9"/>
    <w:rsid w:val="00F726A6"/>
    <w:rsid w:val="00F77942"/>
    <w:rsid w:val="00F903C0"/>
    <w:rsid w:val="00F91338"/>
    <w:rsid w:val="00F91953"/>
    <w:rsid w:val="00F91E10"/>
    <w:rsid w:val="00F9581E"/>
    <w:rsid w:val="00F95CFB"/>
    <w:rsid w:val="00FA05E5"/>
    <w:rsid w:val="00FA682B"/>
    <w:rsid w:val="00FB19DD"/>
    <w:rsid w:val="00FB75F1"/>
    <w:rsid w:val="00FC366A"/>
    <w:rsid w:val="00FC7D7A"/>
    <w:rsid w:val="00FC7F3C"/>
    <w:rsid w:val="00FD5206"/>
    <w:rsid w:val="00FD6A55"/>
    <w:rsid w:val="00FE0E8A"/>
    <w:rsid w:val="00FE3CB1"/>
    <w:rsid w:val="00FE5025"/>
    <w:rsid w:val="00FE5A39"/>
    <w:rsid w:val="00FE5A4A"/>
    <w:rsid w:val="00FE7C40"/>
    <w:rsid w:val="00FF6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013"/>
  </w:style>
  <w:style w:type="paragraph" w:styleId="Heading1">
    <w:name w:val="heading 1"/>
    <w:basedOn w:val="Normal"/>
    <w:next w:val="Normal"/>
    <w:link w:val="Heading1Char"/>
    <w:uiPriority w:val="9"/>
    <w:qFormat/>
    <w:rsid w:val="002A41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416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A416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1338"/>
    <w:pPr>
      <w:ind w:left="720"/>
      <w:contextualSpacing/>
    </w:pPr>
  </w:style>
  <w:style w:type="character" w:customStyle="1" w:styleId="Heading2Char">
    <w:name w:val="Heading 2 Char"/>
    <w:basedOn w:val="DefaultParagraphFont"/>
    <w:link w:val="Heading2"/>
    <w:uiPriority w:val="9"/>
    <w:rsid w:val="002A416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A4166"/>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2A416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8A4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8AD"/>
    <w:rPr>
      <w:rFonts w:ascii="Tahoma" w:hAnsi="Tahoma" w:cs="Tahoma"/>
      <w:sz w:val="16"/>
      <w:szCs w:val="16"/>
    </w:rPr>
  </w:style>
  <w:style w:type="paragraph" w:styleId="Header">
    <w:name w:val="header"/>
    <w:basedOn w:val="Normal"/>
    <w:link w:val="HeaderChar"/>
    <w:uiPriority w:val="99"/>
    <w:unhideWhenUsed/>
    <w:rsid w:val="00DF0E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0EE0"/>
  </w:style>
  <w:style w:type="paragraph" w:styleId="Footer">
    <w:name w:val="footer"/>
    <w:basedOn w:val="Normal"/>
    <w:link w:val="FooterChar"/>
    <w:uiPriority w:val="99"/>
    <w:unhideWhenUsed/>
    <w:rsid w:val="00DF0E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0EE0"/>
  </w:style>
  <w:style w:type="paragraph" w:styleId="FootnoteText">
    <w:name w:val="footnote text"/>
    <w:basedOn w:val="Normal"/>
    <w:link w:val="FootnoteTextChar"/>
    <w:semiHidden/>
    <w:rsid w:val="00A826DD"/>
    <w:pPr>
      <w:spacing w:after="0" w:line="240" w:lineRule="auto"/>
    </w:pPr>
    <w:rPr>
      <w:rFonts w:ascii="Times New Roman" w:eastAsia="Times New Roman" w:hAnsi="Times New Roman" w:cs="Times New Roman"/>
      <w:noProof/>
      <w:sz w:val="20"/>
      <w:szCs w:val="20"/>
      <w:lang w:val="nl-BE"/>
    </w:rPr>
  </w:style>
  <w:style w:type="character" w:customStyle="1" w:styleId="FootnoteTextChar">
    <w:name w:val="Footnote Text Char"/>
    <w:basedOn w:val="DefaultParagraphFont"/>
    <w:link w:val="FootnoteText"/>
    <w:semiHidden/>
    <w:rsid w:val="00A826DD"/>
    <w:rPr>
      <w:rFonts w:ascii="Times New Roman" w:eastAsia="Times New Roman" w:hAnsi="Times New Roman" w:cs="Times New Roman"/>
      <w:noProof/>
      <w:sz w:val="20"/>
      <w:szCs w:val="20"/>
      <w:lang w:val="nl-BE"/>
    </w:rPr>
  </w:style>
  <w:style w:type="character" w:styleId="FootnoteReference">
    <w:name w:val="footnote reference"/>
    <w:basedOn w:val="DefaultParagraphFont"/>
    <w:semiHidden/>
    <w:rsid w:val="00A826DD"/>
    <w:rPr>
      <w:vertAlign w:val="superscript"/>
    </w:rPr>
  </w:style>
  <w:style w:type="paragraph" w:styleId="EndnoteText">
    <w:name w:val="endnote text"/>
    <w:basedOn w:val="Normal"/>
    <w:link w:val="EndnoteTextChar"/>
    <w:uiPriority w:val="99"/>
    <w:semiHidden/>
    <w:unhideWhenUsed/>
    <w:rsid w:val="00ED465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D465D"/>
    <w:rPr>
      <w:sz w:val="20"/>
      <w:szCs w:val="20"/>
    </w:rPr>
  </w:style>
  <w:style w:type="character" w:styleId="EndnoteReference">
    <w:name w:val="endnote reference"/>
    <w:basedOn w:val="DefaultParagraphFont"/>
    <w:uiPriority w:val="99"/>
    <w:semiHidden/>
    <w:unhideWhenUsed/>
    <w:rsid w:val="00ED465D"/>
    <w:rPr>
      <w:vertAlign w:val="superscript"/>
    </w:rPr>
  </w:style>
  <w:style w:type="character" w:styleId="CommentReference">
    <w:name w:val="annotation reference"/>
    <w:basedOn w:val="DefaultParagraphFont"/>
    <w:unhideWhenUsed/>
    <w:rsid w:val="003D26CB"/>
    <w:rPr>
      <w:sz w:val="16"/>
      <w:szCs w:val="16"/>
    </w:rPr>
  </w:style>
  <w:style w:type="paragraph" w:styleId="CommentText">
    <w:name w:val="annotation text"/>
    <w:basedOn w:val="Normal"/>
    <w:link w:val="CommentTextChar"/>
    <w:semiHidden/>
    <w:unhideWhenUsed/>
    <w:rsid w:val="003D26CB"/>
    <w:pPr>
      <w:spacing w:line="240" w:lineRule="auto"/>
    </w:pPr>
    <w:rPr>
      <w:sz w:val="20"/>
      <w:szCs w:val="20"/>
    </w:rPr>
  </w:style>
  <w:style w:type="character" w:customStyle="1" w:styleId="CommentTextChar">
    <w:name w:val="Comment Text Char"/>
    <w:basedOn w:val="DefaultParagraphFont"/>
    <w:link w:val="CommentText"/>
    <w:semiHidden/>
    <w:rsid w:val="003D26CB"/>
    <w:rPr>
      <w:sz w:val="20"/>
      <w:szCs w:val="20"/>
    </w:rPr>
  </w:style>
  <w:style w:type="paragraph" w:styleId="CommentSubject">
    <w:name w:val="annotation subject"/>
    <w:basedOn w:val="CommentText"/>
    <w:next w:val="CommentText"/>
    <w:link w:val="CommentSubjectChar"/>
    <w:uiPriority w:val="99"/>
    <w:semiHidden/>
    <w:unhideWhenUsed/>
    <w:rsid w:val="003D26CB"/>
    <w:rPr>
      <w:b/>
      <w:bCs/>
    </w:rPr>
  </w:style>
  <w:style w:type="character" w:customStyle="1" w:styleId="CommentSubjectChar">
    <w:name w:val="Comment Subject Char"/>
    <w:basedOn w:val="CommentTextChar"/>
    <w:link w:val="CommentSubject"/>
    <w:uiPriority w:val="99"/>
    <w:semiHidden/>
    <w:rsid w:val="003D26CB"/>
    <w:rPr>
      <w:b/>
      <w:bCs/>
      <w:sz w:val="20"/>
      <w:szCs w:val="20"/>
    </w:rPr>
  </w:style>
  <w:style w:type="paragraph" w:styleId="BodyText">
    <w:name w:val="Body Text"/>
    <w:basedOn w:val="Normal"/>
    <w:link w:val="BodyTextChar"/>
    <w:rsid w:val="00C519B6"/>
    <w:pPr>
      <w:spacing w:after="0" w:line="240" w:lineRule="auto"/>
      <w:jc w:val="center"/>
    </w:pPr>
    <w:rPr>
      <w:rFonts w:ascii="Times New Roman" w:eastAsia="Times New Roman" w:hAnsi="Times New Roman" w:cs="Times New Roman"/>
      <w:b/>
      <w:bCs/>
      <w:sz w:val="40"/>
      <w:szCs w:val="20"/>
      <w:lang w:val="fr-BE"/>
    </w:rPr>
  </w:style>
  <w:style w:type="character" w:customStyle="1" w:styleId="BodyTextChar">
    <w:name w:val="Body Text Char"/>
    <w:basedOn w:val="DefaultParagraphFont"/>
    <w:link w:val="BodyText"/>
    <w:rsid w:val="00C519B6"/>
    <w:rPr>
      <w:rFonts w:ascii="Times New Roman" w:eastAsia="Times New Roman" w:hAnsi="Times New Roman" w:cs="Times New Roman"/>
      <w:b/>
      <w:bCs/>
      <w:sz w:val="40"/>
      <w:szCs w:val="20"/>
      <w:lang w:val="fr-BE"/>
    </w:rPr>
  </w:style>
  <w:style w:type="character" w:styleId="Hyperlink">
    <w:name w:val="Hyperlink"/>
    <w:basedOn w:val="DefaultParagraphFont"/>
    <w:uiPriority w:val="99"/>
    <w:unhideWhenUsed/>
    <w:rsid w:val="00C519B6"/>
    <w:rPr>
      <w:color w:val="0000FF" w:themeColor="hyperlink"/>
      <w:u w:val="single"/>
    </w:rPr>
  </w:style>
  <w:style w:type="character" w:styleId="Strong">
    <w:name w:val="Strong"/>
    <w:basedOn w:val="DefaultParagraphFont"/>
    <w:qFormat/>
    <w:rsid w:val="00311D8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013"/>
  </w:style>
  <w:style w:type="paragraph" w:styleId="Heading1">
    <w:name w:val="heading 1"/>
    <w:basedOn w:val="Normal"/>
    <w:next w:val="Normal"/>
    <w:link w:val="Heading1Char"/>
    <w:uiPriority w:val="9"/>
    <w:qFormat/>
    <w:rsid w:val="002A41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A416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A416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1338"/>
    <w:pPr>
      <w:ind w:left="720"/>
      <w:contextualSpacing/>
    </w:pPr>
  </w:style>
  <w:style w:type="character" w:customStyle="1" w:styleId="Heading2Char">
    <w:name w:val="Heading 2 Char"/>
    <w:basedOn w:val="DefaultParagraphFont"/>
    <w:link w:val="Heading2"/>
    <w:uiPriority w:val="9"/>
    <w:rsid w:val="002A416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A4166"/>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2A416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8A4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8AD"/>
    <w:rPr>
      <w:rFonts w:ascii="Tahoma" w:hAnsi="Tahoma" w:cs="Tahoma"/>
      <w:sz w:val="16"/>
      <w:szCs w:val="16"/>
    </w:rPr>
  </w:style>
  <w:style w:type="paragraph" w:styleId="Header">
    <w:name w:val="header"/>
    <w:basedOn w:val="Normal"/>
    <w:link w:val="HeaderChar"/>
    <w:uiPriority w:val="99"/>
    <w:unhideWhenUsed/>
    <w:rsid w:val="00DF0E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0EE0"/>
  </w:style>
  <w:style w:type="paragraph" w:styleId="Footer">
    <w:name w:val="footer"/>
    <w:basedOn w:val="Normal"/>
    <w:link w:val="FooterChar"/>
    <w:uiPriority w:val="99"/>
    <w:unhideWhenUsed/>
    <w:rsid w:val="00DF0E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0EE0"/>
  </w:style>
  <w:style w:type="paragraph" w:styleId="FootnoteText">
    <w:name w:val="footnote text"/>
    <w:basedOn w:val="Normal"/>
    <w:link w:val="FootnoteTextChar"/>
    <w:semiHidden/>
    <w:rsid w:val="00A826DD"/>
    <w:pPr>
      <w:spacing w:after="0" w:line="240" w:lineRule="auto"/>
    </w:pPr>
    <w:rPr>
      <w:rFonts w:ascii="Times New Roman" w:eastAsia="Times New Roman" w:hAnsi="Times New Roman" w:cs="Times New Roman"/>
      <w:noProof/>
      <w:sz w:val="20"/>
      <w:szCs w:val="20"/>
      <w:lang w:val="nl-BE"/>
    </w:rPr>
  </w:style>
  <w:style w:type="character" w:customStyle="1" w:styleId="FootnoteTextChar">
    <w:name w:val="Footnote Text Char"/>
    <w:basedOn w:val="DefaultParagraphFont"/>
    <w:link w:val="FootnoteText"/>
    <w:semiHidden/>
    <w:rsid w:val="00A826DD"/>
    <w:rPr>
      <w:rFonts w:ascii="Times New Roman" w:eastAsia="Times New Roman" w:hAnsi="Times New Roman" w:cs="Times New Roman"/>
      <w:noProof/>
      <w:sz w:val="20"/>
      <w:szCs w:val="20"/>
      <w:lang w:val="nl-BE"/>
    </w:rPr>
  </w:style>
  <w:style w:type="character" w:styleId="FootnoteReference">
    <w:name w:val="footnote reference"/>
    <w:basedOn w:val="DefaultParagraphFont"/>
    <w:semiHidden/>
    <w:rsid w:val="00A826DD"/>
    <w:rPr>
      <w:vertAlign w:val="superscript"/>
    </w:rPr>
  </w:style>
  <w:style w:type="paragraph" w:styleId="EndnoteText">
    <w:name w:val="endnote text"/>
    <w:basedOn w:val="Normal"/>
    <w:link w:val="EndnoteTextChar"/>
    <w:uiPriority w:val="99"/>
    <w:semiHidden/>
    <w:unhideWhenUsed/>
    <w:rsid w:val="00ED465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D465D"/>
    <w:rPr>
      <w:sz w:val="20"/>
      <w:szCs w:val="20"/>
    </w:rPr>
  </w:style>
  <w:style w:type="character" w:styleId="EndnoteReference">
    <w:name w:val="endnote reference"/>
    <w:basedOn w:val="DefaultParagraphFont"/>
    <w:uiPriority w:val="99"/>
    <w:semiHidden/>
    <w:unhideWhenUsed/>
    <w:rsid w:val="00ED465D"/>
    <w:rPr>
      <w:vertAlign w:val="superscript"/>
    </w:rPr>
  </w:style>
  <w:style w:type="character" w:styleId="CommentReference">
    <w:name w:val="annotation reference"/>
    <w:basedOn w:val="DefaultParagraphFont"/>
    <w:unhideWhenUsed/>
    <w:rsid w:val="003D26CB"/>
    <w:rPr>
      <w:sz w:val="16"/>
      <w:szCs w:val="16"/>
    </w:rPr>
  </w:style>
  <w:style w:type="paragraph" w:styleId="CommentText">
    <w:name w:val="annotation text"/>
    <w:basedOn w:val="Normal"/>
    <w:link w:val="CommentTextChar"/>
    <w:semiHidden/>
    <w:unhideWhenUsed/>
    <w:rsid w:val="003D26CB"/>
    <w:pPr>
      <w:spacing w:line="240" w:lineRule="auto"/>
    </w:pPr>
    <w:rPr>
      <w:sz w:val="20"/>
      <w:szCs w:val="20"/>
    </w:rPr>
  </w:style>
  <w:style w:type="character" w:customStyle="1" w:styleId="CommentTextChar">
    <w:name w:val="Comment Text Char"/>
    <w:basedOn w:val="DefaultParagraphFont"/>
    <w:link w:val="CommentText"/>
    <w:semiHidden/>
    <w:rsid w:val="003D26CB"/>
    <w:rPr>
      <w:sz w:val="20"/>
      <w:szCs w:val="20"/>
    </w:rPr>
  </w:style>
  <w:style w:type="paragraph" w:styleId="CommentSubject">
    <w:name w:val="annotation subject"/>
    <w:basedOn w:val="CommentText"/>
    <w:next w:val="CommentText"/>
    <w:link w:val="CommentSubjectChar"/>
    <w:uiPriority w:val="99"/>
    <w:semiHidden/>
    <w:unhideWhenUsed/>
    <w:rsid w:val="003D26CB"/>
    <w:rPr>
      <w:b/>
      <w:bCs/>
    </w:rPr>
  </w:style>
  <w:style w:type="character" w:customStyle="1" w:styleId="CommentSubjectChar">
    <w:name w:val="Comment Subject Char"/>
    <w:basedOn w:val="CommentTextChar"/>
    <w:link w:val="CommentSubject"/>
    <w:uiPriority w:val="99"/>
    <w:semiHidden/>
    <w:rsid w:val="003D26CB"/>
    <w:rPr>
      <w:b/>
      <w:bCs/>
      <w:sz w:val="20"/>
      <w:szCs w:val="20"/>
    </w:rPr>
  </w:style>
  <w:style w:type="paragraph" w:styleId="BodyText">
    <w:name w:val="Body Text"/>
    <w:basedOn w:val="Normal"/>
    <w:link w:val="BodyTextChar"/>
    <w:rsid w:val="00C519B6"/>
    <w:pPr>
      <w:spacing w:after="0" w:line="240" w:lineRule="auto"/>
      <w:jc w:val="center"/>
    </w:pPr>
    <w:rPr>
      <w:rFonts w:ascii="Times New Roman" w:eastAsia="Times New Roman" w:hAnsi="Times New Roman" w:cs="Times New Roman"/>
      <w:b/>
      <w:bCs/>
      <w:sz w:val="40"/>
      <w:szCs w:val="20"/>
      <w:lang w:val="fr-BE"/>
    </w:rPr>
  </w:style>
  <w:style w:type="character" w:customStyle="1" w:styleId="BodyTextChar">
    <w:name w:val="Body Text Char"/>
    <w:basedOn w:val="DefaultParagraphFont"/>
    <w:link w:val="BodyText"/>
    <w:rsid w:val="00C519B6"/>
    <w:rPr>
      <w:rFonts w:ascii="Times New Roman" w:eastAsia="Times New Roman" w:hAnsi="Times New Roman" w:cs="Times New Roman"/>
      <w:b/>
      <w:bCs/>
      <w:sz w:val="40"/>
      <w:szCs w:val="20"/>
      <w:lang w:val="fr-BE"/>
    </w:rPr>
  </w:style>
  <w:style w:type="character" w:styleId="Hyperlink">
    <w:name w:val="Hyperlink"/>
    <w:basedOn w:val="DefaultParagraphFont"/>
    <w:uiPriority w:val="99"/>
    <w:unhideWhenUsed/>
    <w:rsid w:val="00C519B6"/>
    <w:rPr>
      <w:color w:val="0000FF" w:themeColor="hyperlink"/>
      <w:u w:val="single"/>
    </w:rPr>
  </w:style>
  <w:style w:type="character" w:styleId="Strong">
    <w:name w:val="Strong"/>
    <w:basedOn w:val="DefaultParagraphFont"/>
    <w:qFormat/>
    <w:rsid w:val="00311D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948410">
      <w:bodyDiv w:val="1"/>
      <w:marLeft w:val="0"/>
      <w:marRight w:val="0"/>
      <w:marTop w:val="0"/>
      <w:marBottom w:val="0"/>
      <w:divBdr>
        <w:top w:val="none" w:sz="0" w:space="0" w:color="auto"/>
        <w:left w:val="none" w:sz="0" w:space="0" w:color="auto"/>
        <w:bottom w:val="none" w:sz="0" w:space="0" w:color="auto"/>
        <w:right w:val="none" w:sz="0" w:space="0" w:color="auto"/>
      </w:divBdr>
    </w:div>
    <w:div w:id="612245658">
      <w:bodyDiv w:val="1"/>
      <w:marLeft w:val="0"/>
      <w:marRight w:val="0"/>
      <w:marTop w:val="0"/>
      <w:marBottom w:val="0"/>
      <w:divBdr>
        <w:top w:val="none" w:sz="0" w:space="0" w:color="auto"/>
        <w:left w:val="none" w:sz="0" w:space="0" w:color="auto"/>
        <w:bottom w:val="none" w:sz="0" w:space="0" w:color="auto"/>
        <w:right w:val="none" w:sz="0" w:space="0" w:color="auto"/>
      </w:divBdr>
    </w:div>
    <w:div w:id="734007872">
      <w:bodyDiv w:val="1"/>
      <w:marLeft w:val="0"/>
      <w:marRight w:val="0"/>
      <w:marTop w:val="0"/>
      <w:marBottom w:val="0"/>
      <w:divBdr>
        <w:top w:val="none" w:sz="0" w:space="0" w:color="auto"/>
        <w:left w:val="none" w:sz="0" w:space="0" w:color="auto"/>
        <w:bottom w:val="none" w:sz="0" w:space="0" w:color="auto"/>
        <w:right w:val="none" w:sz="0" w:space="0" w:color="auto"/>
      </w:divBdr>
    </w:div>
    <w:div w:id="893931910">
      <w:bodyDiv w:val="1"/>
      <w:marLeft w:val="0"/>
      <w:marRight w:val="0"/>
      <w:marTop w:val="0"/>
      <w:marBottom w:val="0"/>
      <w:divBdr>
        <w:top w:val="none" w:sz="0" w:space="0" w:color="auto"/>
        <w:left w:val="none" w:sz="0" w:space="0" w:color="auto"/>
        <w:bottom w:val="none" w:sz="0" w:space="0" w:color="auto"/>
        <w:right w:val="none" w:sz="0" w:space="0" w:color="auto"/>
      </w:divBdr>
    </w:div>
    <w:div w:id="1329359120">
      <w:bodyDiv w:val="1"/>
      <w:marLeft w:val="0"/>
      <w:marRight w:val="0"/>
      <w:marTop w:val="0"/>
      <w:marBottom w:val="0"/>
      <w:divBdr>
        <w:top w:val="none" w:sz="0" w:space="0" w:color="auto"/>
        <w:left w:val="none" w:sz="0" w:space="0" w:color="auto"/>
        <w:bottom w:val="none" w:sz="0" w:space="0" w:color="auto"/>
        <w:right w:val="none" w:sz="0" w:space="0" w:color="auto"/>
      </w:divBdr>
      <w:divsChild>
        <w:div w:id="1015233276">
          <w:marLeft w:val="0"/>
          <w:marRight w:val="0"/>
          <w:marTop w:val="0"/>
          <w:marBottom w:val="0"/>
          <w:divBdr>
            <w:top w:val="none" w:sz="0" w:space="0" w:color="auto"/>
            <w:left w:val="none" w:sz="0" w:space="0" w:color="auto"/>
            <w:bottom w:val="none" w:sz="0" w:space="0" w:color="auto"/>
            <w:right w:val="none" w:sz="0" w:space="0" w:color="auto"/>
          </w:divBdr>
        </w:div>
        <w:div w:id="1637761100">
          <w:marLeft w:val="0"/>
          <w:marRight w:val="0"/>
          <w:marTop w:val="0"/>
          <w:marBottom w:val="0"/>
          <w:divBdr>
            <w:top w:val="none" w:sz="0" w:space="0" w:color="auto"/>
            <w:left w:val="none" w:sz="0" w:space="0" w:color="auto"/>
            <w:bottom w:val="none" w:sz="0" w:space="0" w:color="auto"/>
            <w:right w:val="none" w:sz="0" w:space="0" w:color="auto"/>
          </w:divBdr>
        </w:div>
        <w:div w:id="1152480728">
          <w:marLeft w:val="0"/>
          <w:marRight w:val="0"/>
          <w:marTop w:val="0"/>
          <w:marBottom w:val="0"/>
          <w:divBdr>
            <w:top w:val="none" w:sz="0" w:space="0" w:color="auto"/>
            <w:left w:val="none" w:sz="0" w:space="0" w:color="auto"/>
            <w:bottom w:val="none" w:sz="0" w:space="0" w:color="auto"/>
            <w:right w:val="none" w:sz="0" w:space="0" w:color="auto"/>
          </w:divBdr>
        </w:div>
        <w:div w:id="2032486992">
          <w:marLeft w:val="0"/>
          <w:marRight w:val="0"/>
          <w:marTop w:val="0"/>
          <w:marBottom w:val="0"/>
          <w:divBdr>
            <w:top w:val="none" w:sz="0" w:space="0" w:color="auto"/>
            <w:left w:val="none" w:sz="0" w:space="0" w:color="auto"/>
            <w:bottom w:val="none" w:sz="0" w:space="0" w:color="auto"/>
            <w:right w:val="none" w:sz="0" w:space="0" w:color="auto"/>
          </w:divBdr>
        </w:div>
        <w:div w:id="259684307">
          <w:marLeft w:val="0"/>
          <w:marRight w:val="0"/>
          <w:marTop w:val="0"/>
          <w:marBottom w:val="0"/>
          <w:divBdr>
            <w:top w:val="none" w:sz="0" w:space="0" w:color="auto"/>
            <w:left w:val="none" w:sz="0" w:space="0" w:color="auto"/>
            <w:bottom w:val="none" w:sz="0" w:space="0" w:color="auto"/>
            <w:right w:val="none" w:sz="0" w:space="0" w:color="auto"/>
          </w:divBdr>
        </w:div>
        <w:div w:id="2047632023">
          <w:marLeft w:val="0"/>
          <w:marRight w:val="0"/>
          <w:marTop w:val="0"/>
          <w:marBottom w:val="0"/>
          <w:divBdr>
            <w:top w:val="none" w:sz="0" w:space="0" w:color="auto"/>
            <w:left w:val="none" w:sz="0" w:space="0" w:color="auto"/>
            <w:bottom w:val="none" w:sz="0" w:space="0" w:color="auto"/>
            <w:right w:val="none" w:sz="0" w:space="0" w:color="auto"/>
          </w:divBdr>
        </w:div>
        <w:div w:id="1343972398">
          <w:marLeft w:val="0"/>
          <w:marRight w:val="0"/>
          <w:marTop w:val="0"/>
          <w:marBottom w:val="0"/>
          <w:divBdr>
            <w:top w:val="none" w:sz="0" w:space="0" w:color="auto"/>
            <w:left w:val="none" w:sz="0" w:space="0" w:color="auto"/>
            <w:bottom w:val="none" w:sz="0" w:space="0" w:color="auto"/>
            <w:right w:val="none" w:sz="0" w:space="0" w:color="auto"/>
          </w:divBdr>
        </w:div>
        <w:div w:id="1358199218">
          <w:marLeft w:val="0"/>
          <w:marRight w:val="0"/>
          <w:marTop w:val="0"/>
          <w:marBottom w:val="0"/>
          <w:divBdr>
            <w:top w:val="none" w:sz="0" w:space="0" w:color="auto"/>
            <w:left w:val="none" w:sz="0" w:space="0" w:color="auto"/>
            <w:bottom w:val="none" w:sz="0" w:space="0" w:color="auto"/>
            <w:right w:val="none" w:sz="0" w:space="0" w:color="auto"/>
          </w:divBdr>
        </w:div>
        <w:div w:id="1542356757">
          <w:marLeft w:val="0"/>
          <w:marRight w:val="0"/>
          <w:marTop w:val="0"/>
          <w:marBottom w:val="0"/>
          <w:divBdr>
            <w:top w:val="none" w:sz="0" w:space="0" w:color="auto"/>
            <w:left w:val="none" w:sz="0" w:space="0" w:color="auto"/>
            <w:bottom w:val="none" w:sz="0" w:space="0" w:color="auto"/>
            <w:right w:val="none" w:sz="0" w:space="0" w:color="auto"/>
          </w:divBdr>
        </w:div>
        <w:div w:id="1684741043">
          <w:marLeft w:val="0"/>
          <w:marRight w:val="0"/>
          <w:marTop w:val="0"/>
          <w:marBottom w:val="0"/>
          <w:divBdr>
            <w:top w:val="none" w:sz="0" w:space="0" w:color="auto"/>
            <w:left w:val="none" w:sz="0" w:space="0" w:color="auto"/>
            <w:bottom w:val="none" w:sz="0" w:space="0" w:color="auto"/>
            <w:right w:val="none" w:sz="0" w:space="0" w:color="auto"/>
          </w:divBdr>
        </w:div>
        <w:div w:id="809173290">
          <w:marLeft w:val="0"/>
          <w:marRight w:val="0"/>
          <w:marTop w:val="0"/>
          <w:marBottom w:val="0"/>
          <w:divBdr>
            <w:top w:val="none" w:sz="0" w:space="0" w:color="auto"/>
            <w:left w:val="none" w:sz="0" w:space="0" w:color="auto"/>
            <w:bottom w:val="none" w:sz="0" w:space="0" w:color="auto"/>
            <w:right w:val="none" w:sz="0" w:space="0" w:color="auto"/>
          </w:divBdr>
        </w:div>
        <w:div w:id="907959780">
          <w:marLeft w:val="0"/>
          <w:marRight w:val="0"/>
          <w:marTop w:val="0"/>
          <w:marBottom w:val="0"/>
          <w:divBdr>
            <w:top w:val="none" w:sz="0" w:space="0" w:color="auto"/>
            <w:left w:val="none" w:sz="0" w:space="0" w:color="auto"/>
            <w:bottom w:val="none" w:sz="0" w:space="0" w:color="auto"/>
            <w:right w:val="none" w:sz="0" w:space="0" w:color="auto"/>
          </w:divBdr>
        </w:div>
        <w:div w:id="228422386">
          <w:marLeft w:val="0"/>
          <w:marRight w:val="0"/>
          <w:marTop w:val="0"/>
          <w:marBottom w:val="0"/>
          <w:divBdr>
            <w:top w:val="none" w:sz="0" w:space="0" w:color="auto"/>
            <w:left w:val="none" w:sz="0" w:space="0" w:color="auto"/>
            <w:bottom w:val="none" w:sz="0" w:space="0" w:color="auto"/>
            <w:right w:val="none" w:sz="0" w:space="0" w:color="auto"/>
          </w:divBdr>
        </w:div>
        <w:div w:id="1714384728">
          <w:marLeft w:val="0"/>
          <w:marRight w:val="0"/>
          <w:marTop w:val="0"/>
          <w:marBottom w:val="0"/>
          <w:divBdr>
            <w:top w:val="none" w:sz="0" w:space="0" w:color="auto"/>
            <w:left w:val="none" w:sz="0" w:space="0" w:color="auto"/>
            <w:bottom w:val="none" w:sz="0" w:space="0" w:color="auto"/>
            <w:right w:val="none" w:sz="0" w:space="0" w:color="auto"/>
          </w:divBdr>
        </w:div>
        <w:div w:id="667051368">
          <w:marLeft w:val="0"/>
          <w:marRight w:val="0"/>
          <w:marTop w:val="0"/>
          <w:marBottom w:val="0"/>
          <w:divBdr>
            <w:top w:val="none" w:sz="0" w:space="0" w:color="auto"/>
            <w:left w:val="none" w:sz="0" w:space="0" w:color="auto"/>
            <w:bottom w:val="none" w:sz="0" w:space="0" w:color="auto"/>
            <w:right w:val="none" w:sz="0" w:space="0" w:color="auto"/>
          </w:divBdr>
        </w:div>
        <w:div w:id="1642686761">
          <w:marLeft w:val="0"/>
          <w:marRight w:val="0"/>
          <w:marTop w:val="0"/>
          <w:marBottom w:val="0"/>
          <w:divBdr>
            <w:top w:val="none" w:sz="0" w:space="0" w:color="auto"/>
            <w:left w:val="none" w:sz="0" w:space="0" w:color="auto"/>
            <w:bottom w:val="none" w:sz="0" w:space="0" w:color="auto"/>
            <w:right w:val="none" w:sz="0" w:space="0" w:color="auto"/>
          </w:divBdr>
        </w:div>
        <w:div w:id="1685401967">
          <w:marLeft w:val="0"/>
          <w:marRight w:val="0"/>
          <w:marTop w:val="0"/>
          <w:marBottom w:val="0"/>
          <w:divBdr>
            <w:top w:val="none" w:sz="0" w:space="0" w:color="auto"/>
            <w:left w:val="none" w:sz="0" w:space="0" w:color="auto"/>
            <w:bottom w:val="none" w:sz="0" w:space="0" w:color="auto"/>
            <w:right w:val="none" w:sz="0" w:space="0" w:color="auto"/>
          </w:divBdr>
        </w:div>
        <w:div w:id="259801647">
          <w:marLeft w:val="0"/>
          <w:marRight w:val="0"/>
          <w:marTop w:val="0"/>
          <w:marBottom w:val="0"/>
          <w:divBdr>
            <w:top w:val="none" w:sz="0" w:space="0" w:color="auto"/>
            <w:left w:val="none" w:sz="0" w:space="0" w:color="auto"/>
            <w:bottom w:val="none" w:sz="0" w:space="0" w:color="auto"/>
            <w:right w:val="none" w:sz="0" w:space="0" w:color="auto"/>
          </w:divBdr>
        </w:div>
        <w:div w:id="1238176133">
          <w:marLeft w:val="0"/>
          <w:marRight w:val="0"/>
          <w:marTop w:val="0"/>
          <w:marBottom w:val="0"/>
          <w:divBdr>
            <w:top w:val="none" w:sz="0" w:space="0" w:color="auto"/>
            <w:left w:val="none" w:sz="0" w:space="0" w:color="auto"/>
            <w:bottom w:val="none" w:sz="0" w:space="0" w:color="auto"/>
            <w:right w:val="none" w:sz="0" w:space="0" w:color="auto"/>
          </w:divBdr>
          <w:divsChild>
            <w:div w:id="369962036">
              <w:marLeft w:val="0"/>
              <w:marRight w:val="0"/>
              <w:marTop w:val="0"/>
              <w:marBottom w:val="0"/>
              <w:divBdr>
                <w:top w:val="none" w:sz="0" w:space="0" w:color="auto"/>
                <w:left w:val="none" w:sz="0" w:space="0" w:color="auto"/>
                <w:bottom w:val="none" w:sz="0" w:space="0" w:color="auto"/>
                <w:right w:val="none" w:sz="0" w:space="0" w:color="auto"/>
              </w:divBdr>
            </w:div>
          </w:divsChild>
        </w:div>
        <w:div w:id="477497927">
          <w:marLeft w:val="0"/>
          <w:marRight w:val="0"/>
          <w:marTop w:val="0"/>
          <w:marBottom w:val="0"/>
          <w:divBdr>
            <w:top w:val="none" w:sz="0" w:space="0" w:color="auto"/>
            <w:left w:val="none" w:sz="0" w:space="0" w:color="auto"/>
            <w:bottom w:val="none" w:sz="0" w:space="0" w:color="auto"/>
            <w:right w:val="none" w:sz="0" w:space="0" w:color="auto"/>
          </w:divBdr>
        </w:div>
        <w:div w:id="1542864600">
          <w:marLeft w:val="0"/>
          <w:marRight w:val="0"/>
          <w:marTop w:val="0"/>
          <w:marBottom w:val="0"/>
          <w:divBdr>
            <w:top w:val="none" w:sz="0" w:space="0" w:color="auto"/>
            <w:left w:val="none" w:sz="0" w:space="0" w:color="auto"/>
            <w:bottom w:val="none" w:sz="0" w:space="0" w:color="auto"/>
            <w:right w:val="none" w:sz="0" w:space="0" w:color="auto"/>
          </w:divBdr>
        </w:div>
        <w:div w:id="1971009407">
          <w:marLeft w:val="0"/>
          <w:marRight w:val="0"/>
          <w:marTop w:val="0"/>
          <w:marBottom w:val="0"/>
          <w:divBdr>
            <w:top w:val="none" w:sz="0" w:space="0" w:color="auto"/>
            <w:left w:val="none" w:sz="0" w:space="0" w:color="auto"/>
            <w:bottom w:val="none" w:sz="0" w:space="0" w:color="auto"/>
            <w:right w:val="none" w:sz="0" w:space="0" w:color="auto"/>
          </w:divBdr>
        </w:div>
        <w:div w:id="687875162">
          <w:marLeft w:val="0"/>
          <w:marRight w:val="0"/>
          <w:marTop w:val="0"/>
          <w:marBottom w:val="0"/>
          <w:divBdr>
            <w:top w:val="none" w:sz="0" w:space="0" w:color="auto"/>
            <w:left w:val="none" w:sz="0" w:space="0" w:color="auto"/>
            <w:bottom w:val="none" w:sz="0" w:space="0" w:color="auto"/>
            <w:right w:val="none" w:sz="0" w:space="0" w:color="auto"/>
          </w:divBdr>
        </w:div>
        <w:div w:id="685407239">
          <w:marLeft w:val="0"/>
          <w:marRight w:val="0"/>
          <w:marTop w:val="0"/>
          <w:marBottom w:val="0"/>
          <w:divBdr>
            <w:top w:val="none" w:sz="0" w:space="0" w:color="auto"/>
            <w:left w:val="none" w:sz="0" w:space="0" w:color="auto"/>
            <w:bottom w:val="none" w:sz="0" w:space="0" w:color="auto"/>
            <w:right w:val="none" w:sz="0" w:space="0" w:color="auto"/>
          </w:divBdr>
        </w:div>
        <w:div w:id="1358240680">
          <w:marLeft w:val="0"/>
          <w:marRight w:val="0"/>
          <w:marTop w:val="0"/>
          <w:marBottom w:val="0"/>
          <w:divBdr>
            <w:top w:val="none" w:sz="0" w:space="0" w:color="auto"/>
            <w:left w:val="none" w:sz="0" w:space="0" w:color="auto"/>
            <w:bottom w:val="none" w:sz="0" w:space="0" w:color="auto"/>
            <w:right w:val="none" w:sz="0" w:space="0" w:color="auto"/>
          </w:divBdr>
        </w:div>
        <w:div w:id="203687293">
          <w:marLeft w:val="0"/>
          <w:marRight w:val="0"/>
          <w:marTop w:val="0"/>
          <w:marBottom w:val="0"/>
          <w:divBdr>
            <w:top w:val="none" w:sz="0" w:space="0" w:color="auto"/>
            <w:left w:val="none" w:sz="0" w:space="0" w:color="auto"/>
            <w:bottom w:val="none" w:sz="0" w:space="0" w:color="auto"/>
            <w:right w:val="none" w:sz="0" w:space="0" w:color="auto"/>
          </w:divBdr>
        </w:div>
        <w:div w:id="269439955">
          <w:marLeft w:val="0"/>
          <w:marRight w:val="0"/>
          <w:marTop w:val="0"/>
          <w:marBottom w:val="0"/>
          <w:divBdr>
            <w:top w:val="none" w:sz="0" w:space="0" w:color="auto"/>
            <w:left w:val="none" w:sz="0" w:space="0" w:color="auto"/>
            <w:bottom w:val="none" w:sz="0" w:space="0" w:color="auto"/>
            <w:right w:val="none" w:sz="0" w:space="0" w:color="auto"/>
          </w:divBdr>
        </w:div>
        <w:div w:id="1665236339">
          <w:marLeft w:val="0"/>
          <w:marRight w:val="0"/>
          <w:marTop w:val="0"/>
          <w:marBottom w:val="0"/>
          <w:divBdr>
            <w:top w:val="none" w:sz="0" w:space="0" w:color="auto"/>
            <w:left w:val="none" w:sz="0" w:space="0" w:color="auto"/>
            <w:bottom w:val="none" w:sz="0" w:space="0" w:color="auto"/>
            <w:right w:val="none" w:sz="0" w:space="0" w:color="auto"/>
          </w:divBdr>
        </w:div>
        <w:div w:id="1137140429">
          <w:marLeft w:val="0"/>
          <w:marRight w:val="0"/>
          <w:marTop w:val="0"/>
          <w:marBottom w:val="0"/>
          <w:divBdr>
            <w:top w:val="none" w:sz="0" w:space="0" w:color="auto"/>
            <w:left w:val="none" w:sz="0" w:space="0" w:color="auto"/>
            <w:bottom w:val="none" w:sz="0" w:space="0" w:color="auto"/>
            <w:right w:val="none" w:sz="0" w:space="0" w:color="auto"/>
          </w:divBdr>
        </w:div>
        <w:div w:id="99493627">
          <w:marLeft w:val="0"/>
          <w:marRight w:val="0"/>
          <w:marTop w:val="0"/>
          <w:marBottom w:val="0"/>
          <w:divBdr>
            <w:top w:val="none" w:sz="0" w:space="0" w:color="auto"/>
            <w:left w:val="none" w:sz="0" w:space="0" w:color="auto"/>
            <w:bottom w:val="none" w:sz="0" w:space="0" w:color="auto"/>
            <w:right w:val="none" w:sz="0" w:space="0" w:color="auto"/>
          </w:divBdr>
        </w:div>
        <w:div w:id="90585371">
          <w:marLeft w:val="0"/>
          <w:marRight w:val="0"/>
          <w:marTop w:val="0"/>
          <w:marBottom w:val="0"/>
          <w:divBdr>
            <w:top w:val="none" w:sz="0" w:space="0" w:color="auto"/>
            <w:left w:val="none" w:sz="0" w:space="0" w:color="auto"/>
            <w:bottom w:val="none" w:sz="0" w:space="0" w:color="auto"/>
            <w:right w:val="none" w:sz="0" w:space="0" w:color="auto"/>
          </w:divBdr>
        </w:div>
      </w:divsChild>
    </w:div>
    <w:div w:id="1619526275">
      <w:bodyDiv w:val="1"/>
      <w:marLeft w:val="0"/>
      <w:marRight w:val="0"/>
      <w:marTop w:val="0"/>
      <w:marBottom w:val="0"/>
      <w:divBdr>
        <w:top w:val="none" w:sz="0" w:space="0" w:color="auto"/>
        <w:left w:val="none" w:sz="0" w:space="0" w:color="auto"/>
        <w:bottom w:val="none" w:sz="0" w:space="0" w:color="auto"/>
        <w:right w:val="none" w:sz="0" w:space="0" w:color="auto"/>
      </w:divBdr>
    </w:div>
    <w:div w:id="1775591174">
      <w:bodyDiv w:val="1"/>
      <w:marLeft w:val="0"/>
      <w:marRight w:val="0"/>
      <w:marTop w:val="0"/>
      <w:marBottom w:val="0"/>
      <w:divBdr>
        <w:top w:val="none" w:sz="0" w:space="0" w:color="auto"/>
        <w:left w:val="none" w:sz="0" w:space="0" w:color="auto"/>
        <w:bottom w:val="none" w:sz="0" w:space="0" w:color="auto"/>
        <w:right w:val="none" w:sz="0" w:space="0" w:color="auto"/>
      </w:divBdr>
    </w:div>
    <w:div w:id="1967542599">
      <w:bodyDiv w:val="1"/>
      <w:marLeft w:val="0"/>
      <w:marRight w:val="0"/>
      <w:marTop w:val="0"/>
      <w:marBottom w:val="0"/>
      <w:divBdr>
        <w:top w:val="none" w:sz="0" w:space="0" w:color="auto"/>
        <w:left w:val="none" w:sz="0" w:space="0" w:color="auto"/>
        <w:bottom w:val="none" w:sz="0" w:space="0" w:color="auto"/>
        <w:right w:val="none" w:sz="0" w:space="0" w:color="auto"/>
      </w:divBdr>
    </w:div>
    <w:div w:id="202239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2EB69-F2AA-4942-99A2-C507F691D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2954</Words>
  <Characters>16839</Characters>
  <Application>Microsoft Office Word</Application>
  <DocSecurity>0</DocSecurity>
  <Lines>140</Lines>
  <Paragraphs>39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LCM-AMNC</Company>
  <LinksUpToDate>false</LinksUpToDate>
  <CharactersWithSpaces>19754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LCM-ANMC</dc:creator>
  <cp:lastModifiedBy>Guillaume, Joeri</cp:lastModifiedBy>
  <cp:revision>4</cp:revision>
  <dcterms:created xsi:type="dcterms:W3CDTF">2014-09-10T06:03:00Z</dcterms:created>
  <dcterms:modified xsi:type="dcterms:W3CDTF">2014-09-17T13:58:00Z</dcterms:modified>
</cp:coreProperties>
</file>