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CD3" w:rsidRDefault="00124CD3" w:rsidP="005A5580">
      <w:pPr>
        <w:pStyle w:val="Heading1"/>
        <w:jc w:val="both"/>
      </w:pPr>
      <w:r>
        <w:rPr>
          <w:noProof/>
        </w:rPr>
        <w:drawing>
          <wp:inline distT="0" distB="0" distL="0" distR="0" wp14:anchorId="44456304" wp14:editId="34F4714D">
            <wp:extent cx="1412299" cy="556018"/>
            <wp:effectExtent l="19050" t="0" r="0" b="0"/>
            <wp:docPr id="3" name="Picture 0" descr="IMA-AI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AIM-logo.jpg"/>
                    <pic:cNvPicPr/>
                  </pic:nvPicPr>
                  <pic:blipFill>
                    <a:blip r:embed="rId9" cstate="print"/>
                    <a:stretch>
                      <a:fillRect/>
                    </a:stretch>
                  </pic:blipFill>
                  <pic:spPr>
                    <a:xfrm>
                      <a:off x="0" y="0"/>
                      <a:ext cx="1413684" cy="556563"/>
                    </a:xfrm>
                    <a:prstGeom prst="rect">
                      <a:avLst/>
                    </a:prstGeom>
                  </pic:spPr>
                </pic:pic>
              </a:graphicData>
            </a:graphic>
          </wp:inline>
        </w:drawing>
      </w:r>
    </w:p>
    <w:p w:rsidR="00687BF8" w:rsidRPr="00C948B5" w:rsidRDefault="005371C2" w:rsidP="00025ACD">
      <w:pPr>
        <w:jc w:val="right"/>
      </w:pPr>
      <w:proofErr w:type="spellStart"/>
      <w:r w:rsidRPr="00C948B5">
        <w:t>Bru</w:t>
      </w:r>
      <w:r w:rsidR="00C948B5" w:rsidRPr="00C948B5">
        <w:t>x</w:t>
      </w:r>
      <w:r w:rsidRPr="00C948B5">
        <w:t>el</w:t>
      </w:r>
      <w:r w:rsidR="00C948B5" w:rsidRPr="00C948B5">
        <w:t>les</w:t>
      </w:r>
      <w:proofErr w:type="spellEnd"/>
      <w:r w:rsidRPr="00C948B5">
        <w:t xml:space="preserve">, </w:t>
      </w:r>
      <w:r w:rsidR="00C948B5" w:rsidRPr="00C948B5">
        <w:t xml:space="preserve">le </w:t>
      </w:r>
      <w:r w:rsidR="00070DE4">
        <w:t>17</w:t>
      </w:r>
      <w:r w:rsidR="00C92706">
        <w:t xml:space="preserve"> </w:t>
      </w:r>
      <w:proofErr w:type="spellStart"/>
      <w:r w:rsidR="00C92706">
        <w:t>septembre</w:t>
      </w:r>
      <w:proofErr w:type="spellEnd"/>
      <w:r w:rsidR="00D613CF" w:rsidRPr="00C948B5">
        <w:t xml:space="preserve"> 2014</w:t>
      </w:r>
    </w:p>
    <w:p w:rsidR="00C519B6" w:rsidRPr="00C948B5" w:rsidRDefault="00C519B6" w:rsidP="005A5580">
      <w:pPr>
        <w:pStyle w:val="BodyText"/>
        <w:ind w:left="284"/>
        <w:jc w:val="both"/>
        <w:rPr>
          <w:rFonts w:ascii="Trebuchet MS" w:hAnsi="Trebuchet MS"/>
          <w:lang w:val="en-US"/>
        </w:rPr>
      </w:pPr>
    </w:p>
    <w:p w:rsidR="004212DB" w:rsidRPr="00C948B5" w:rsidRDefault="00C948B5" w:rsidP="004212DB">
      <w:pPr>
        <w:pStyle w:val="BodyText"/>
        <w:ind w:left="284"/>
        <w:rPr>
          <w:rFonts w:asciiTheme="minorHAnsi" w:hAnsiTheme="minorHAnsi" w:cstheme="minorHAnsi"/>
          <w:sz w:val="24"/>
          <w:szCs w:val="24"/>
        </w:rPr>
      </w:pPr>
      <w:r w:rsidRPr="00C948B5">
        <w:rPr>
          <w:rFonts w:asciiTheme="minorHAnsi" w:hAnsiTheme="minorHAnsi" w:cstheme="minorHAnsi"/>
          <w:sz w:val="24"/>
          <w:szCs w:val="24"/>
        </w:rPr>
        <w:t>Accouchements en milieu hospitalier au cours de la période 2008-2011 en Belgique</w:t>
      </w:r>
      <w:r w:rsidR="00AA3223" w:rsidRPr="00C948B5">
        <w:rPr>
          <w:rFonts w:asciiTheme="minorHAnsi" w:hAnsiTheme="minorHAnsi" w:cstheme="minorHAnsi"/>
          <w:sz w:val="24"/>
          <w:szCs w:val="24"/>
        </w:rPr>
        <w:t xml:space="preserve"> – </w:t>
      </w:r>
    </w:p>
    <w:p w:rsidR="00C519B6" w:rsidRDefault="00070DE4" w:rsidP="004212DB">
      <w:pPr>
        <w:pStyle w:val="BodyText"/>
        <w:ind w:left="284"/>
        <w:rPr>
          <w:rFonts w:asciiTheme="minorHAnsi" w:hAnsiTheme="minorHAnsi" w:cstheme="minorHAnsi"/>
          <w:sz w:val="24"/>
          <w:szCs w:val="24"/>
        </w:rPr>
      </w:pPr>
      <w:r>
        <w:rPr>
          <w:rFonts w:asciiTheme="minorHAnsi" w:hAnsiTheme="minorHAnsi" w:cstheme="minorHAnsi"/>
          <w:sz w:val="24"/>
          <w:szCs w:val="24"/>
        </w:rPr>
        <w:t>Note explicative des 3</w:t>
      </w:r>
      <w:r w:rsidR="00C948B5" w:rsidRPr="00C948B5">
        <w:rPr>
          <w:rFonts w:asciiTheme="minorHAnsi" w:hAnsiTheme="minorHAnsi" w:cstheme="minorHAnsi"/>
          <w:sz w:val="24"/>
          <w:szCs w:val="24"/>
        </w:rPr>
        <w:t xml:space="preserve"> fichier</w:t>
      </w:r>
      <w:r>
        <w:rPr>
          <w:rFonts w:asciiTheme="minorHAnsi" w:hAnsiTheme="minorHAnsi" w:cstheme="minorHAnsi"/>
          <w:sz w:val="24"/>
          <w:szCs w:val="24"/>
        </w:rPr>
        <w:t>s</w:t>
      </w:r>
      <w:r w:rsidR="00C948B5" w:rsidRPr="00C948B5">
        <w:rPr>
          <w:rFonts w:asciiTheme="minorHAnsi" w:hAnsiTheme="minorHAnsi" w:cstheme="minorHAnsi"/>
          <w:sz w:val="24"/>
          <w:szCs w:val="24"/>
        </w:rPr>
        <w:t xml:space="preserve"> </w:t>
      </w:r>
      <w:proofErr w:type="spellStart"/>
      <w:r w:rsidR="00C948B5" w:rsidRPr="00C948B5">
        <w:rPr>
          <w:rFonts w:asciiTheme="minorHAnsi" w:hAnsiTheme="minorHAnsi" w:cstheme="minorHAnsi"/>
          <w:sz w:val="24"/>
          <w:szCs w:val="24"/>
        </w:rPr>
        <w:t>excel</w:t>
      </w:r>
      <w:proofErr w:type="spellEnd"/>
    </w:p>
    <w:p w:rsidR="00070DE4" w:rsidRPr="00C948B5" w:rsidRDefault="00070DE4" w:rsidP="004212DB">
      <w:pPr>
        <w:pStyle w:val="BodyText"/>
        <w:ind w:left="284"/>
        <w:rPr>
          <w:rFonts w:asciiTheme="minorHAnsi" w:hAnsiTheme="minorHAnsi" w:cstheme="minorHAnsi"/>
          <w:sz w:val="24"/>
          <w:szCs w:val="24"/>
        </w:rPr>
      </w:pPr>
      <w:r>
        <w:rPr>
          <w:rFonts w:asciiTheme="minorHAnsi" w:hAnsiTheme="minorHAnsi" w:cstheme="minorHAnsi"/>
          <w:sz w:val="24"/>
          <w:szCs w:val="24"/>
        </w:rPr>
        <w:t>(tableaux du rapport, annexes 2008-2011, mise à jour 2012)</w:t>
      </w:r>
    </w:p>
    <w:p w:rsidR="004212DB" w:rsidRPr="00C948B5" w:rsidRDefault="004212DB" w:rsidP="004212DB">
      <w:pPr>
        <w:spacing w:after="0"/>
        <w:jc w:val="both"/>
        <w:rPr>
          <w:lang w:val="fr-BE"/>
        </w:rPr>
      </w:pPr>
    </w:p>
    <w:p w:rsidR="004212DB" w:rsidRPr="00C948B5" w:rsidRDefault="00746BD2" w:rsidP="004212DB">
      <w:pPr>
        <w:spacing w:after="0"/>
        <w:jc w:val="both"/>
        <w:rPr>
          <w:b/>
          <w:lang w:val="fr-BE"/>
        </w:rPr>
      </w:pPr>
      <w:r w:rsidRPr="00C948B5">
        <w:rPr>
          <w:b/>
          <w:lang w:val="fr-BE"/>
        </w:rPr>
        <w:t>1.</w:t>
      </w:r>
      <w:r w:rsidRPr="00C948B5">
        <w:rPr>
          <w:b/>
          <w:lang w:val="fr-BE"/>
        </w:rPr>
        <w:tab/>
      </w:r>
      <w:r w:rsidR="00C948B5" w:rsidRPr="00C948B5">
        <w:rPr>
          <w:b/>
          <w:lang w:val="fr-BE"/>
        </w:rPr>
        <w:t>Contenu d</w:t>
      </w:r>
      <w:r w:rsidR="00070DE4">
        <w:rPr>
          <w:b/>
          <w:lang w:val="fr-BE"/>
        </w:rPr>
        <w:t>es</w:t>
      </w:r>
      <w:r w:rsidR="00C948B5" w:rsidRPr="00C948B5">
        <w:rPr>
          <w:b/>
          <w:lang w:val="fr-BE"/>
        </w:rPr>
        <w:t xml:space="preserve"> fichier</w:t>
      </w:r>
      <w:r w:rsidR="00070DE4">
        <w:rPr>
          <w:b/>
          <w:lang w:val="fr-BE"/>
        </w:rPr>
        <w:t>s</w:t>
      </w:r>
      <w:r w:rsidR="00C948B5" w:rsidRPr="00C948B5">
        <w:rPr>
          <w:b/>
          <w:lang w:val="fr-BE"/>
        </w:rPr>
        <w:t xml:space="preserve"> </w:t>
      </w:r>
      <w:proofErr w:type="spellStart"/>
      <w:r w:rsidR="00C948B5">
        <w:rPr>
          <w:b/>
          <w:lang w:val="fr-BE"/>
        </w:rPr>
        <w:t>excel</w:t>
      </w:r>
      <w:proofErr w:type="spellEnd"/>
    </w:p>
    <w:p w:rsidR="004212DB" w:rsidRPr="00C948B5" w:rsidRDefault="004212DB" w:rsidP="000E2BDA">
      <w:pPr>
        <w:spacing w:after="0"/>
        <w:rPr>
          <w:lang w:val="fr-BE"/>
        </w:rPr>
      </w:pPr>
    </w:p>
    <w:p w:rsidR="00746BD2" w:rsidRPr="00545DCD" w:rsidRDefault="00C948B5" w:rsidP="000E2BDA">
      <w:pPr>
        <w:spacing w:after="0"/>
        <w:rPr>
          <w:lang w:val="fr-BE"/>
        </w:rPr>
      </w:pPr>
      <w:r w:rsidRPr="00545DCD">
        <w:rPr>
          <w:lang w:val="fr-BE"/>
        </w:rPr>
        <w:t>Le</w:t>
      </w:r>
      <w:r w:rsidR="00070DE4">
        <w:rPr>
          <w:lang w:val="fr-BE"/>
        </w:rPr>
        <w:t>s</w:t>
      </w:r>
      <w:r w:rsidRPr="00545DCD">
        <w:rPr>
          <w:lang w:val="fr-BE"/>
        </w:rPr>
        <w:t xml:space="preserve"> fichier</w:t>
      </w:r>
      <w:r w:rsidR="00070DE4">
        <w:rPr>
          <w:lang w:val="fr-BE"/>
        </w:rPr>
        <w:t xml:space="preserve">s </w:t>
      </w:r>
      <w:proofErr w:type="spellStart"/>
      <w:r w:rsidR="00070DE4">
        <w:rPr>
          <w:lang w:val="fr-BE"/>
        </w:rPr>
        <w:t>excel</w:t>
      </w:r>
      <w:proofErr w:type="spellEnd"/>
      <w:r w:rsidR="00070DE4">
        <w:rPr>
          <w:lang w:val="fr-BE"/>
        </w:rPr>
        <w:t xml:space="preserve"> contiennent</w:t>
      </w:r>
      <w:r w:rsidR="00545DCD" w:rsidRPr="00545DCD">
        <w:rPr>
          <w:lang w:val="fr-BE"/>
        </w:rPr>
        <w:t xml:space="preserve"> au total 3</w:t>
      </w:r>
      <w:r w:rsidR="00DC3CF4">
        <w:rPr>
          <w:lang w:val="fr-BE"/>
        </w:rPr>
        <w:t>6</w:t>
      </w:r>
      <w:r w:rsidR="00545DCD" w:rsidRPr="00545DCD">
        <w:rPr>
          <w:lang w:val="fr-BE"/>
        </w:rPr>
        <w:t xml:space="preserve"> fichiers de travail</w:t>
      </w:r>
      <w:r w:rsidR="00E806BE" w:rsidRPr="00545DCD">
        <w:rPr>
          <w:lang w:val="fr-BE"/>
        </w:rPr>
        <w:t>:</w:t>
      </w:r>
    </w:p>
    <w:p w:rsidR="00E806BE" w:rsidRPr="00545DCD" w:rsidRDefault="00E806BE" w:rsidP="000E2BDA">
      <w:pPr>
        <w:spacing w:after="0"/>
        <w:rPr>
          <w:lang w:val="fr-BE"/>
        </w:rPr>
      </w:pPr>
    </w:p>
    <w:p w:rsidR="00E806BE" w:rsidRPr="00AA4B3B" w:rsidRDefault="00E806BE" w:rsidP="000E2BDA">
      <w:pPr>
        <w:pStyle w:val="ListParagraph"/>
        <w:numPr>
          <w:ilvl w:val="0"/>
          <w:numId w:val="17"/>
        </w:numPr>
        <w:spacing w:after="0"/>
        <w:rPr>
          <w:lang w:val="fr-BE"/>
        </w:rPr>
      </w:pPr>
      <w:r w:rsidRPr="00AA4B3B">
        <w:rPr>
          <w:lang w:val="fr-BE"/>
        </w:rPr>
        <w:t>1</w:t>
      </w:r>
      <w:r w:rsidR="00070DE4">
        <w:rPr>
          <w:lang w:val="fr-BE"/>
        </w:rPr>
        <w:t>0</w:t>
      </w:r>
      <w:r w:rsidRPr="00AA4B3B">
        <w:rPr>
          <w:lang w:val="fr-BE"/>
        </w:rPr>
        <w:t xml:space="preserve"> </w:t>
      </w:r>
      <w:r w:rsidR="00545DCD" w:rsidRPr="00AA4B3B">
        <w:rPr>
          <w:lang w:val="fr-BE"/>
        </w:rPr>
        <w:t xml:space="preserve">annexes donnant l’aperçu </w:t>
      </w:r>
      <w:r w:rsidR="00070DE4">
        <w:rPr>
          <w:lang w:val="fr-BE"/>
        </w:rPr>
        <w:t xml:space="preserve">2008-2011 </w:t>
      </w:r>
      <w:r w:rsidR="00545DCD" w:rsidRPr="00AA4B3B">
        <w:rPr>
          <w:lang w:val="fr-BE"/>
        </w:rPr>
        <w:t>de l’ensemble de toutes les maternités</w:t>
      </w:r>
    </w:p>
    <w:p w:rsidR="00070DE4" w:rsidRDefault="00070DE4" w:rsidP="005E12A3">
      <w:pPr>
        <w:pStyle w:val="ListParagraph"/>
        <w:numPr>
          <w:ilvl w:val="0"/>
          <w:numId w:val="17"/>
        </w:numPr>
        <w:spacing w:after="0"/>
        <w:rPr>
          <w:lang w:val="fr-BE"/>
        </w:rPr>
      </w:pPr>
      <w:r>
        <w:rPr>
          <w:lang w:val="fr-BE"/>
        </w:rPr>
        <w:t>Pour 6 de ces annexes une mise à jour 2012 de ces chiffres par maternité</w:t>
      </w:r>
      <w:r>
        <w:rPr>
          <w:rStyle w:val="FootnoteReference"/>
          <w:lang w:val="fr-BE"/>
        </w:rPr>
        <w:footnoteReference w:id="1"/>
      </w:r>
    </w:p>
    <w:p w:rsidR="00E806BE" w:rsidRPr="005E12A3" w:rsidRDefault="00E806BE" w:rsidP="005E12A3">
      <w:pPr>
        <w:pStyle w:val="ListParagraph"/>
        <w:numPr>
          <w:ilvl w:val="0"/>
          <w:numId w:val="17"/>
        </w:numPr>
        <w:spacing w:after="0"/>
        <w:rPr>
          <w:lang w:val="fr-BE"/>
        </w:rPr>
      </w:pPr>
      <w:r w:rsidRPr="005E12A3">
        <w:rPr>
          <w:lang w:val="fr-BE"/>
        </w:rPr>
        <w:t xml:space="preserve">20 </w:t>
      </w:r>
      <w:r w:rsidR="00545DCD" w:rsidRPr="005E12A3">
        <w:rPr>
          <w:lang w:val="fr-BE"/>
        </w:rPr>
        <w:t xml:space="preserve">tableaux constituant la version </w:t>
      </w:r>
      <w:proofErr w:type="spellStart"/>
      <w:r w:rsidR="00545DCD" w:rsidRPr="005E12A3">
        <w:rPr>
          <w:lang w:val="fr-BE"/>
        </w:rPr>
        <w:t>excel</w:t>
      </w:r>
      <w:proofErr w:type="spellEnd"/>
      <w:r w:rsidR="00545DCD" w:rsidRPr="005E12A3">
        <w:rPr>
          <w:lang w:val="fr-BE"/>
        </w:rPr>
        <w:t xml:space="preserve"> des tableaux présents dans le rapport AIM</w:t>
      </w:r>
      <w:r w:rsidR="005E12A3" w:rsidRPr="005E12A3">
        <w:rPr>
          <w:lang w:val="fr-BE"/>
        </w:rPr>
        <w:t xml:space="preserve"> </w:t>
      </w:r>
      <w:r w:rsidR="005E12A3" w:rsidRPr="005E12A3">
        <w:rPr>
          <w:i/>
          <w:lang w:val="fr-BE"/>
        </w:rPr>
        <w:t>‘Accouchements réalisés au cours de la période 2008-2011 en Belgique’</w:t>
      </w:r>
      <w:r w:rsidRPr="005E12A3">
        <w:rPr>
          <w:i/>
          <w:lang w:val="fr-BE"/>
        </w:rPr>
        <w:t xml:space="preserve">. </w:t>
      </w:r>
      <w:r w:rsidR="005E12A3" w:rsidRPr="005E12A3">
        <w:rPr>
          <w:lang w:val="fr-BE"/>
        </w:rPr>
        <w:t xml:space="preserve">Ces 20 tableaux constituent une </w:t>
      </w:r>
      <w:r w:rsidR="005E12A3">
        <w:rPr>
          <w:lang w:val="fr-BE"/>
        </w:rPr>
        <w:t xml:space="preserve">simple </w:t>
      </w:r>
      <w:r w:rsidR="005E12A3" w:rsidRPr="005E12A3">
        <w:rPr>
          <w:lang w:val="fr-BE"/>
        </w:rPr>
        <w:t>extraction de l’information repris</w:t>
      </w:r>
      <w:r w:rsidR="005E12A3">
        <w:rPr>
          <w:lang w:val="fr-BE"/>
        </w:rPr>
        <w:t>e</w:t>
      </w:r>
      <w:r w:rsidR="005E12A3" w:rsidRPr="005E12A3">
        <w:rPr>
          <w:lang w:val="fr-BE"/>
        </w:rPr>
        <w:t xml:space="preserve"> dans les annexes</w:t>
      </w:r>
      <w:r w:rsidR="005D5EEC">
        <w:rPr>
          <w:rStyle w:val="FootnoteReference"/>
          <w:lang w:val="nl-BE"/>
        </w:rPr>
        <w:footnoteReference w:id="2"/>
      </w:r>
      <w:r w:rsidRPr="005E12A3">
        <w:rPr>
          <w:lang w:val="fr-BE"/>
        </w:rPr>
        <w:t>.</w:t>
      </w:r>
    </w:p>
    <w:p w:rsidR="00746BD2" w:rsidRPr="005E12A3" w:rsidRDefault="00746BD2" w:rsidP="000E2BDA">
      <w:pPr>
        <w:spacing w:after="0"/>
        <w:rPr>
          <w:lang w:val="fr-BE"/>
        </w:rPr>
      </w:pPr>
    </w:p>
    <w:p w:rsidR="006C5D37" w:rsidRPr="005E12A3" w:rsidRDefault="006C5D37" w:rsidP="000E2BDA">
      <w:pPr>
        <w:spacing w:after="0"/>
        <w:rPr>
          <w:b/>
          <w:lang w:val="fr-BE"/>
        </w:rPr>
      </w:pPr>
      <w:r w:rsidRPr="005E12A3">
        <w:rPr>
          <w:b/>
          <w:lang w:val="fr-BE"/>
        </w:rPr>
        <w:t>2.</w:t>
      </w:r>
      <w:r w:rsidRPr="005E12A3">
        <w:rPr>
          <w:b/>
          <w:lang w:val="fr-BE"/>
        </w:rPr>
        <w:tab/>
      </w:r>
      <w:r w:rsidR="005E12A3" w:rsidRPr="005E12A3">
        <w:rPr>
          <w:b/>
          <w:lang w:val="fr-BE"/>
        </w:rPr>
        <w:t xml:space="preserve">Contenu des Annexes et des </w:t>
      </w:r>
      <w:r w:rsidR="005E12A3">
        <w:rPr>
          <w:b/>
          <w:lang w:val="fr-BE"/>
        </w:rPr>
        <w:t>T</w:t>
      </w:r>
      <w:r w:rsidR="005E12A3" w:rsidRPr="005E12A3">
        <w:rPr>
          <w:b/>
          <w:lang w:val="fr-BE"/>
        </w:rPr>
        <w:t xml:space="preserve">ableaux </w:t>
      </w:r>
      <w:r w:rsidR="005D5EEC" w:rsidRPr="005E12A3">
        <w:rPr>
          <w:b/>
          <w:lang w:val="fr-BE"/>
        </w:rPr>
        <w:t>15, 16 e</w:t>
      </w:r>
      <w:r w:rsidR="005E12A3">
        <w:rPr>
          <w:b/>
          <w:lang w:val="fr-BE"/>
        </w:rPr>
        <w:t>t</w:t>
      </w:r>
      <w:r w:rsidR="005D5EEC" w:rsidRPr="005E12A3">
        <w:rPr>
          <w:b/>
          <w:lang w:val="fr-BE"/>
        </w:rPr>
        <w:t xml:space="preserve"> 17</w:t>
      </w:r>
    </w:p>
    <w:p w:rsidR="006C5D37" w:rsidRPr="005E12A3" w:rsidRDefault="006C5D37" w:rsidP="000E2BDA">
      <w:pPr>
        <w:spacing w:after="0"/>
        <w:rPr>
          <w:lang w:val="fr-BE"/>
        </w:rPr>
      </w:pPr>
    </w:p>
    <w:p w:rsidR="006C5D37" w:rsidRPr="00E105FF" w:rsidRDefault="00E105FF" w:rsidP="000E2BDA">
      <w:pPr>
        <w:spacing w:after="0"/>
        <w:rPr>
          <w:lang w:val="fr-BE"/>
        </w:rPr>
      </w:pPr>
      <w:r w:rsidRPr="00E105FF">
        <w:rPr>
          <w:lang w:val="fr-BE"/>
        </w:rPr>
        <w:t>Compte tenu du fait que la plupart des tableaux du rapport constituent à chaque fois une synthèse d’un</w:t>
      </w:r>
      <w:r w:rsidR="00DC3CF4">
        <w:rPr>
          <w:lang w:val="fr-BE"/>
        </w:rPr>
        <w:t>e</w:t>
      </w:r>
      <w:r w:rsidRPr="00E105FF">
        <w:rPr>
          <w:lang w:val="fr-BE"/>
        </w:rPr>
        <w:t xml:space="preserve"> des 1</w:t>
      </w:r>
      <w:r w:rsidR="00DC3CF4">
        <w:rPr>
          <w:lang w:val="fr-BE"/>
        </w:rPr>
        <w:t>6</w:t>
      </w:r>
      <w:r w:rsidRPr="00E105FF">
        <w:rPr>
          <w:lang w:val="fr-BE"/>
        </w:rPr>
        <w:t xml:space="preserve"> annexes, nous donnerons ici qu’un aperçu du contenu des différentes annexes, ainsi qu’une explication relative aux tableaux </w:t>
      </w:r>
      <w:r w:rsidR="005D5EEC" w:rsidRPr="00E105FF">
        <w:rPr>
          <w:lang w:val="fr-BE"/>
        </w:rPr>
        <w:t>15, 16 e</w:t>
      </w:r>
      <w:r>
        <w:rPr>
          <w:lang w:val="fr-BE"/>
        </w:rPr>
        <w:t>t</w:t>
      </w:r>
      <w:r w:rsidR="005D5EEC" w:rsidRPr="00E105FF">
        <w:rPr>
          <w:lang w:val="fr-BE"/>
        </w:rPr>
        <w:t xml:space="preserve"> 17.</w:t>
      </w:r>
    </w:p>
    <w:p w:rsidR="006C5D37" w:rsidRPr="00E105FF" w:rsidRDefault="006C5D37" w:rsidP="000E2BDA">
      <w:pPr>
        <w:spacing w:after="0"/>
        <w:rPr>
          <w:lang w:val="fr-BE"/>
        </w:rPr>
      </w:pPr>
    </w:p>
    <w:p w:rsidR="005D5EEC" w:rsidRPr="00E105FF" w:rsidRDefault="005D5EEC" w:rsidP="000E2BDA">
      <w:pPr>
        <w:spacing w:after="0"/>
        <w:rPr>
          <w:b/>
          <w:i/>
          <w:lang w:val="fr-BE"/>
        </w:rPr>
      </w:pPr>
      <w:r w:rsidRPr="00E105FF">
        <w:rPr>
          <w:b/>
          <w:i/>
          <w:lang w:val="fr-BE"/>
        </w:rPr>
        <w:t>I.</w:t>
      </w:r>
      <w:r w:rsidRPr="00E105FF">
        <w:rPr>
          <w:b/>
          <w:i/>
          <w:lang w:val="fr-BE"/>
        </w:rPr>
        <w:tab/>
      </w:r>
      <w:r w:rsidR="00E105FF" w:rsidRPr="00E105FF">
        <w:rPr>
          <w:b/>
          <w:i/>
          <w:lang w:val="fr-BE"/>
        </w:rPr>
        <w:t xml:space="preserve">Problématique </w:t>
      </w:r>
      <w:r w:rsidRPr="00E105FF">
        <w:rPr>
          <w:b/>
          <w:i/>
          <w:lang w:val="fr-BE"/>
        </w:rPr>
        <w:t>‘</w:t>
      </w:r>
      <w:r w:rsidR="00E105FF" w:rsidRPr="00E105FF">
        <w:rPr>
          <w:b/>
          <w:i/>
          <w:lang w:val="fr-BE"/>
        </w:rPr>
        <w:t>classique’ des fusions d’hôpitaux/camp</w:t>
      </w:r>
      <w:r w:rsidR="00553D89">
        <w:rPr>
          <w:b/>
          <w:i/>
          <w:lang w:val="fr-BE"/>
        </w:rPr>
        <w:t>us</w:t>
      </w:r>
      <w:r w:rsidR="00E105FF" w:rsidRPr="00E105FF">
        <w:rPr>
          <w:b/>
          <w:i/>
          <w:lang w:val="fr-BE"/>
        </w:rPr>
        <w:t xml:space="preserve"> sur une longue période</w:t>
      </w:r>
    </w:p>
    <w:p w:rsidR="005D5EEC" w:rsidRPr="00E105FF" w:rsidRDefault="005D5EEC" w:rsidP="000E2BDA">
      <w:pPr>
        <w:spacing w:after="0"/>
        <w:ind w:left="709" w:hanging="709"/>
        <w:rPr>
          <w:lang w:val="fr-BE"/>
        </w:rPr>
      </w:pPr>
    </w:p>
    <w:p w:rsidR="006C5D37" w:rsidRPr="00E105FF" w:rsidRDefault="006C5D37" w:rsidP="000E2BDA">
      <w:pPr>
        <w:spacing w:after="0"/>
        <w:ind w:left="709" w:hanging="709"/>
        <w:rPr>
          <w:lang w:val="fr-BE"/>
        </w:rPr>
      </w:pPr>
      <w:r w:rsidRPr="00E105FF">
        <w:rPr>
          <w:lang w:val="fr-BE"/>
        </w:rPr>
        <w:t>2.1.</w:t>
      </w:r>
      <w:r w:rsidRPr="00E105FF">
        <w:rPr>
          <w:lang w:val="fr-BE"/>
        </w:rPr>
        <w:tab/>
      </w:r>
      <w:r w:rsidR="00E105FF" w:rsidRPr="00E105FF">
        <w:rPr>
          <w:u w:val="single"/>
          <w:lang w:val="fr-BE"/>
        </w:rPr>
        <w:t>Annexe 1 - liste des hôpitaux pour lesquels les résultats 2008-2011 sont agrégés dans le tableaux du rapport</w:t>
      </w:r>
    </w:p>
    <w:p w:rsidR="006C5D37" w:rsidRPr="00E105FF" w:rsidRDefault="006C5D37" w:rsidP="000E2BDA">
      <w:pPr>
        <w:spacing w:after="0"/>
        <w:rPr>
          <w:lang w:val="fr-BE"/>
        </w:rPr>
      </w:pPr>
    </w:p>
    <w:p w:rsidR="006C5D37" w:rsidRPr="00553D89" w:rsidRDefault="00E105FF" w:rsidP="000E2BDA">
      <w:pPr>
        <w:spacing w:after="0"/>
        <w:rPr>
          <w:lang w:val="fr-BE"/>
        </w:rPr>
      </w:pPr>
      <w:r w:rsidRPr="00553D89">
        <w:rPr>
          <w:lang w:val="fr-BE"/>
        </w:rPr>
        <w:t xml:space="preserve">Pour 9 maternités (ou campus) </w:t>
      </w:r>
      <w:r w:rsidR="00553D89" w:rsidRPr="00553D89">
        <w:rPr>
          <w:lang w:val="fr-BE"/>
        </w:rPr>
        <w:t>nous n’avons pas retrouvé une série 2008-201</w:t>
      </w:r>
      <w:r w:rsidR="00DC3CF4">
        <w:rPr>
          <w:lang w:val="fr-BE"/>
        </w:rPr>
        <w:t>1</w:t>
      </w:r>
      <w:r w:rsidR="00553D89" w:rsidRPr="00553D89">
        <w:rPr>
          <w:lang w:val="fr-BE"/>
        </w:rPr>
        <w:t xml:space="preserve"> complète, pour 1 maternité ce fut bien le cas</w:t>
      </w:r>
      <w:r w:rsidR="006C5D37" w:rsidRPr="00553D89">
        <w:rPr>
          <w:lang w:val="fr-BE"/>
        </w:rPr>
        <w:t xml:space="preserve"> (</w:t>
      </w:r>
      <w:proofErr w:type="spellStart"/>
      <w:r w:rsidR="006C5D37" w:rsidRPr="00553D89">
        <w:rPr>
          <w:lang w:val="fr-BE"/>
        </w:rPr>
        <w:t>fusieziekenhuis</w:t>
      </w:r>
      <w:proofErr w:type="spellEnd"/>
      <w:r w:rsidR="006C5D37" w:rsidRPr="00553D89">
        <w:rPr>
          <w:lang w:val="fr-BE"/>
        </w:rPr>
        <w:t xml:space="preserve"> St-</w:t>
      </w:r>
      <w:proofErr w:type="spellStart"/>
      <w:r w:rsidR="006C5D37" w:rsidRPr="00553D89">
        <w:rPr>
          <w:lang w:val="fr-BE"/>
        </w:rPr>
        <w:t>Vincentius</w:t>
      </w:r>
      <w:proofErr w:type="spellEnd"/>
      <w:r w:rsidR="006C5D37" w:rsidRPr="00553D89">
        <w:rPr>
          <w:lang w:val="fr-BE"/>
        </w:rPr>
        <w:t xml:space="preserve"> Antwerpen)</w:t>
      </w:r>
      <w:r w:rsidR="00553D89">
        <w:rPr>
          <w:lang w:val="fr-BE"/>
        </w:rPr>
        <w:t xml:space="preserve">, mais avec un nombre marginal de cas en </w:t>
      </w:r>
      <w:r w:rsidR="004C6B9A" w:rsidRPr="00553D89">
        <w:rPr>
          <w:lang w:val="fr-BE"/>
        </w:rPr>
        <w:t>2010 e</w:t>
      </w:r>
      <w:r w:rsidR="00553D89">
        <w:rPr>
          <w:lang w:val="fr-BE"/>
        </w:rPr>
        <w:t>t</w:t>
      </w:r>
      <w:r w:rsidR="004C6B9A" w:rsidRPr="00553D89">
        <w:rPr>
          <w:lang w:val="fr-BE"/>
        </w:rPr>
        <w:t xml:space="preserve"> 2011</w:t>
      </w:r>
      <w:r w:rsidR="00070DE4">
        <w:rPr>
          <w:lang w:val="fr-BE"/>
        </w:rPr>
        <w:t xml:space="preserve"> (et 2012)</w:t>
      </w:r>
      <w:r w:rsidR="004C6B9A" w:rsidRPr="00553D89">
        <w:rPr>
          <w:lang w:val="fr-BE"/>
        </w:rPr>
        <w:t xml:space="preserve">. </w:t>
      </w:r>
      <w:r w:rsidR="00553D89" w:rsidRPr="00553D89">
        <w:rPr>
          <w:lang w:val="fr-BE"/>
        </w:rPr>
        <w:t>Pour ces raisons, nous avons regroupé les hôpitaux/maternités concernés sur une entité à partir de 2008</w:t>
      </w:r>
      <w:r w:rsidR="004C6B9A" w:rsidRPr="00553D89">
        <w:rPr>
          <w:lang w:val="fr-BE"/>
        </w:rPr>
        <w:t>.</w:t>
      </w:r>
    </w:p>
    <w:p w:rsidR="004C6B9A" w:rsidRPr="00553D89" w:rsidRDefault="004C6B9A" w:rsidP="000E2BDA">
      <w:pPr>
        <w:spacing w:after="0"/>
        <w:rPr>
          <w:lang w:val="fr-BE"/>
        </w:rPr>
      </w:pPr>
    </w:p>
    <w:p w:rsidR="004C6B9A" w:rsidRPr="00553D89" w:rsidRDefault="00553D89" w:rsidP="00070DE4">
      <w:pPr>
        <w:spacing w:after="0"/>
        <w:rPr>
          <w:lang w:val="fr-BE"/>
        </w:rPr>
      </w:pPr>
      <w:r w:rsidRPr="00553D89">
        <w:rPr>
          <w:lang w:val="fr-BE"/>
        </w:rPr>
        <w:t>L’annexe 1 donne un aperçu de ces regroupements</w:t>
      </w:r>
      <w:r w:rsidR="004C6B9A" w:rsidRPr="00553D89">
        <w:rPr>
          <w:lang w:val="fr-BE"/>
        </w:rPr>
        <w:t>.</w:t>
      </w:r>
      <w:r w:rsidR="004C6B9A" w:rsidRPr="00553D89">
        <w:rPr>
          <w:lang w:val="fr-BE"/>
        </w:rPr>
        <w:br w:type="page"/>
      </w:r>
    </w:p>
    <w:p w:rsidR="00532CA9" w:rsidRPr="00553D89" w:rsidRDefault="005D5EEC" w:rsidP="000E2BDA">
      <w:pPr>
        <w:spacing w:after="0"/>
        <w:rPr>
          <w:b/>
          <w:i/>
          <w:lang w:val="fr-BE"/>
        </w:rPr>
      </w:pPr>
      <w:r w:rsidRPr="00AA4B3B">
        <w:rPr>
          <w:b/>
          <w:i/>
          <w:lang w:val="fr-BE"/>
        </w:rPr>
        <w:lastRenderedPageBreak/>
        <w:t>I</w:t>
      </w:r>
      <w:r w:rsidR="00532CA9" w:rsidRPr="00AA4B3B">
        <w:rPr>
          <w:b/>
          <w:i/>
          <w:lang w:val="fr-BE"/>
        </w:rPr>
        <w:t xml:space="preserve">I. </w:t>
      </w:r>
      <w:r w:rsidR="00532CA9" w:rsidRPr="00AA4B3B">
        <w:rPr>
          <w:b/>
          <w:i/>
          <w:lang w:val="fr-BE"/>
        </w:rPr>
        <w:tab/>
      </w:r>
      <w:r w:rsidR="00553D89" w:rsidRPr="00553D89">
        <w:rPr>
          <w:b/>
          <w:i/>
          <w:lang w:val="fr-BE"/>
        </w:rPr>
        <w:t>Annexes avec de l’information générale</w:t>
      </w:r>
    </w:p>
    <w:p w:rsidR="00532CA9" w:rsidRPr="00553D89" w:rsidRDefault="00532CA9" w:rsidP="000E2BDA">
      <w:pPr>
        <w:spacing w:after="0"/>
        <w:rPr>
          <w:lang w:val="fr-BE"/>
        </w:rPr>
      </w:pPr>
    </w:p>
    <w:p w:rsidR="004C6B9A" w:rsidRPr="00553D89" w:rsidRDefault="004C6B9A" w:rsidP="000E2BDA">
      <w:pPr>
        <w:spacing w:after="0"/>
        <w:rPr>
          <w:lang w:val="fr-BE"/>
        </w:rPr>
      </w:pPr>
      <w:r w:rsidRPr="00553D89">
        <w:rPr>
          <w:lang w:val="fr-BE"/>
        </w:rPr>
        <w:t>2.2.</w:t>
      </w:r>
      <w:r w:rsidRPr="00553D89">
        <w:rPr>
          <w:lang w:val="fr-BE"/>
        </w:rPr>
        <w:tab/>
      </w:r>
      <w:r w:rsidR="00553D89" w:rsidRPr="00553D89">
        <w:rPr>
          <w:u w:val="single"/>
          <w:lang w:val="fr-BE"/>
        </w:rPr>
        <w:t>Annexe 2 - Proportion d'accouchements réalisés par césarienne par hôpital en 2008-2011</w:t>
      </w:r>
      <w:r w:rsidR="00070DE4">
        <w:rPr>
          <w:rStyle w:val="FootnoteReference"/>
          <w:u w:val="single"/>
          <w:lang w:val="fr-BE"/>
        </w:rPr>
        <w:footnoteReference w:id="3"/>
      </w:r>
    </w:p>
    <w:p w:rsidR="006C5D37" w:rsidRPr="00553D89" w:rsidRDefault="006C5D37" w:rsidP="000E2BDA">
      <w:pPr>
        <w:spacing w:after="0"/>
        <w:rPr>
          <w:lang w:val="fr-BE"/>
        </w:rPr>
      </w:pPr>
    </w:p>
    <w:p w:rsidR="004C6B9A" w:rsidRPr="00AA4B3B" w:rsidRDefault="00553D89" w:rsidP="000E2BDA">
      <w:pPr>
        <w:spacing w:after="0"/>
        <w:rPr>
          <w:lang w:val="fr-BE"/>
        </w:rPr>
      </w:pPr>
      <w:r w:rsidRPr="00B901C8">
        <w:rPr>
          <w:lang w:val="fr-BE"/>
        </w:rPr>
        <w:t xml:space="preserve">L’annexe 2 donne un aperçu </w:t>
      </w:r>
      <w:r w:rsidR="00B901C8" w:rsidRPr="00B901C8">
        <w:rPr>
          <w:lang w:val="fr-BE"/>
        </w:rPr>
        <w:t>du taux de césariennes par maternité sur la période 2008-2011</w:t>
      </w:r>
      <w:r w:rsidR="004C6B9A" w:rsidRPr="00B901C8">
        <w:rPr>
          <w:lang w:val="fr-BE"/>
        </w:rPr>
        <w:t xml:space="preserve">. </w:t>
      </w:r>
      <w:r w:rsidR="00B901C8">
        <w:rPr>
          <w:lang w:val="fr-BE"/>
        </w:rPr>
        <w:t>Sur base des données de facturation des OA et après agrégation de maternités telle que décrite dans l’annexe 1, on retrouve 100 maternités, classés sur base de leur numéro INAMI, les deux dernières colonnes de l’annexe 2 doivent être lues de la façon suivante :</w:t>
      </w:r>
    </w:p>
    <w:p w:rsidR="004C6B9A" w:rsidRPr="00B901C8" w:rsidRDefault="00B901C8" w:rsidP="00B901C8">
      <w:pPr>
        <w:pStyle w:val="ListParagraph"/>
        <w:numPr>
          <w:ilvl w:val="0"/>
          <w:numId w:val="18"/>
        </w:numPr>
        <w:spacing w:after="0"/>
        <w:rPr>
          <w:lang w:val="fr-BE"/>
        </w:rPr>
      </w:pPr>
      <w:r w:rsidRPr="00B901C8">
        <w:rPr>
          <w:i/>
          <w:lang w:val="fr-BE"/>
        </w:rPr>
        <w:t>Evolution taux césar</w:t>
      </w:r>
      <w:r w:rsidR="004C6B9A" w:rsidRPr="00B901C8">
        <w:rPr>
          <w:i/>
          <w:lang w:val="fr-BE"/>
        </w:rPr>
        <w:t>.</w:t>
      </w:r>
      <w:r w:rsidR="004C6B9A" w:rsidRPr="00B901C8">
        <w:rPr>
          <w:lang w:val="fr-BE"/>
        </w:rPr>
        <w:t xml:space="preserve">: </w:t>
      </w:r>
      <w:r w:rsidRPr="00B901C8">
        <w:rPr>
          <w:lang w:val="fr-BE"/>
        </w:rPr>
        <w:t>cette colonne reprend pour chaque maternité l’évolution moyenne du taux de césariennes au sein de cette maternité</w:t>
      </w:r>
      <w:r w:rsidR="004C6B9A" w:rsidRPr="00B901C8">
        <w:rPr>
          <w:lang w:val="fr-BE"/>
        </w:rPr>
        <w:t>.</w:t>
      </w:r>
      <w:r w:rsidR="002F0B2E" w:rsidRPr="00B901C8">
        <w:rPr>
          <w:lang w:val="fr-BE"/>
        </w:rPr>
        <w:t xml:space="preserve"> </w:t>
      </w:r>
      <w:r w:rsidRPr="00B901C8">
        <w:rPr>
          <w:lang w:val="fr-BE"/>
        </w:rPr>
        <w:t>Ex</w:t>
      </w:r>
      <w:r w:rsidR="002F0B2E" w:rsidRPr="00B901C8">
        <w:rPr>
          <w:lang w:val="fr-BE"/>
        </w:rPr>
        <w:t xml:space="preserve"> (</w:t>
      </w:r>
      <w:r w:rsidRPr="00B901C8">
        <w:rPr>
          <w:lang w:val="fr-BE"/>
        </w:rPr>
        <w:t>première ligne du tableau</w:t>
      </w:r>
      <w:r w:rsidR="002F0B2E" w:rsidRPr="00B901C8">
        <w:rPr>
          <w:lang w:val="fr-BE"/>
        </w:rPr>
        <w:t>):</w:t>
      </w:r>
      <w:r w:rsidR="004C6B9A" w:rsidRPr="00B901C8">
        <w:rPr>
          <w:lang w:val="fr-BE"/>
        </w:rPr>
        <w:t xml:space="preserve"> </w:t>
      </w:r>
      <w:r w:rsidRPr="00B901C8">
        <w:rPr>
          <w:lang w:val="fr-BE"/>
        </w:rPr>
        <w:t xml:space="preserve">dans le </w:t>
      </w:r>
      <w:proofErr w:type="spellStart"/>
      <w:r w:rsidR="004C6B9A" w:rsidRPr="00B901C8">
        <w:rPr>
          <w:lang w:val="fr-BE"/>
        </w:rPr>
        <w:t>Stedelijk</w:t>
      </w:r>
      <w:proofErr w:type="spellEnd"/>
      <w:r w:rsidR="004C6B9A" w:rsidRPr="00B901C8">
        <w:rPr>
          <w:lang w:val="fr-BE"/>
        </w:rPr>
        <w:t xml:space="preserve"> </w:t>
      </w:r>
      <w:proofErr w:type="spellStart"/>
      <w:r w:rsidR="004C6B9A" w:rsidRPr="00B901C8">
        <w:rPr>
          <w:lang w:val="fr-BE"/>
        </w:rPr>
        <w:t>Zh</w:t>
      </w:r>
      <w:proofErr w:type="spellEnd"/>
      <w:r w:rsidR="004C6B9A" w:rsidRPr="00B901C8">
        <w:rPr>
          <w:lang w:val="fr-BE"/>
        </w:rPr>
        <w:t xml:space="preserve"> Roeselare</w:t>
      </w:r>
      <w:r w:rsidRPr="00B901C8">
        <w:rPr>
          <w:lang w:val="fr-BE"/>
        </w:rPr>
        <w:t xml:space="preserve">, on observe une croissance relative du taux de césariennes entre </w:t>
      </w:r>
      <w:r w:rsidR="004C6B9A" w:rsidRPr="00B901C8">
        <w:rPr>
          <w:lang w:val="fr-BE"/>
        </w:rPr>
        <w:t>2008 e</w:t>
      </w:r>
      <w:r>
        <w:rPr>
          <w:lang w:val="fr-BE"/>
        </w:rPr>
        <w:t>t</w:t>
      </w:r>
      <w:r w:rsidR="004C6B9A" w:rsidRPr="00B901C8">
        <w:rPr>
          <w:lang w:val="fr-BE"/>
        </w:rPr>
        <w:t xml:space="preserve"> 2011 </w:t>
      </w:r>
      <w:r>
        <w:rPr>
          <w:lang w:val="fr-BE"/>
        </w:rPr>
        <w:t>de</w:t>
      </w:r>
      <w:r w:rsidR="004C6B9A" w:rsidRPr="00B901C8">
        <w:rPr>
          <w:lang w:val="fr-BE"/>
        </w:rPr>
        <w:t xml:space="preserve"> 8,7% (2008: 13,0% </w:t>
      </w:r>
      <w:r>
        <w:rPr>
          <w:lang w:val="fr-BE"/>
        </w:rPr>
        <w:t>de césariennes</w:t>
      </w:r>
      <w:r w:rsidR="004C6B9A" w:rsidRPr="00B901C8">
        <w:rPr>
          <w:lang w:val="fr-BE"/>
        </w:rPr>
        <w:t>, 2011: 16,7%)</w:t>
      </w:r>
    </w:p>
    <w:p w:rsidR="0049323F" w:rsidRPr="00B901C8" w:rsidRDefault="00B901C8" w:rsidP="00B901C8">
      <w:pPr>
        <w:pStyle w:val="ListParagraph"/>
        <w:numPr>
          <w:ilvl w:val="0"/>
          <w:numId w:val="18"/>
        </w:numPr>
        <w:spacing w:after="0"/>
        <w:rPr>
          <w:lang w:val="fr-BE"/>
        </w:rPr>
      </w:pPr>
      <w:r w:rsidRPr="00AA4B3B">
        <w:rPr>
          <w:i/>
          <w:lang w:val="fr-BE"/>
        </w:rPr>
        <w:t xml:space="preserve">% César. </w:t>
      </w:r>
      <w:proofErr w:type="spellStart"/>
      <w:r w:rsidRPr="00B901C8">
        <w:rPr>
          <w:i/>
          <w:lang w:val="fr-BE"/>
        </w:rPr>
        <w:t>Moy</w:t>
      </w:r>
      <w:proofErr w:type="spellEnd"/>
      <w:r w:rsidR="0049323F" w:rsidRPr="00B901C8">
        <w:rPr>
          <w:i/>
          <w:lang w:val="fr-BE"/>
        </w:rPr>
        <w:t>.:</w:t>
      </w:r>
      <w:r w:rsidR="0049323F" w:rsidRPr="00B901C8">
        <w:rPr>
          <w:lang w:val="fr-BE"/>
        </w:rPr>
        <w:t xml:space="preserve"> </w:t>
      </w:r>
      <w:r w:rsidRPr="00B901C8">
        <w:rPr>
          <w:lang w:val="fr-BE"/>
        </w:rPr>
        <w:t>le taux de césariennes par maternité si les 4 années sont prises ensemble</w:t>
      </w:r>
      <w:r w:rsidR="0049323F" w:rsidRPr="00B901C8">
        <w:rPr>
          <w:lang w:val="fr-BE"/>
        </w:rPr>
        <w:t xml:space="preserve"> (Roeselare </w:t>
      </w:r>
      <w:r>
        <w:rPr>
          <w:lang w:val="fr-BE"/>
        </w:rPr>
        <w:t xml:space="preserve">connaît donc un taux moyen de </w:t>
      </w:r>
      <w:r w:rsidR="0049323F" w:rsidRPr="00B901C8">
        <w:rPr>
          <w:lang w:val="fr-BE"/>
        </w:rPr>
        <w:t xml:space="preserve">15,2% </w:t>
      </w:r>
      <w:r>
        <w:rPr>
          <w:lang w:val="fr-BE"/>
        </w:rPr>
        <w:t>de césariennes sur ces 4 années</w:t>
      </w:r>
      <w:r w:rsidR="0049323F" w:rsidRPr="00B901C8">
        <w:rPr>
          <w:lang w:val="fr-BE"/>
        </w:rPr>
        <w:t>)</w:t>
      </w:r>
    </w:p>
    <w:p w:rsidR="0049323F" w:rsidRPr="00B901C8" w:rsidRDefault="0049323F" w:rsidP="000E2BDA">
      <w:pPr>
        <w:spacing w:after="0"/>
        <w:rPr>
          <w:lang w:val="fr-BE"/>
        </w:rPr>
      </w:pPr>
    </w:p>
    <w:p w:rsidR="0049323F" w:rsidRPr="00B901C8" w:rsidRDefault="0049323F" w:rsidP="000E2BDA">
      <w:pPr>
        <w:spacing w:after="0"/>
        <w:ind w:left="709" w:hanging="709"/>
        <w:rPr>
          <w:lang w:val="fr-BE"/>
        </w:rPr>
      </w:pPr>
      <w:r w:rsidRPr="00B901C8">
        <w:rPr>
          <w:lang w:val="fr-BE"/>
        </w:rPr>
        <w:t>2.3.</w:t>
      </w:r>
      <w:r w:rsidRPr="00B901C8">
        <w:rPr>
          <w:lang w:val="fr-BE"/>
        </w:rPr>
        <w:tab/>
      </w:r>
      <w:r w:rsidR="00B901C8" w:rsidRPr="00B901C8">
        <w:rPr>
          <w:u w:val="single"/>
          <w:lang w:val="fr-BE"/>
        </w:rPr>
        <w:t>Annexe 3 - Volume d'accouchements réalisés par hôpital en 2008-2011</w:t>
      </w:r>
      <w:r w:rsidR="00B901C8">
        <w:rPr>
          <w:u w:val="single"/>
          <w:lang w:val="fr-BE"/>
        </w:rPr>
        <w:t xml:space="preserve"> - </w:t>
      </w:r>
      <w:r w:rsidR="00B901C8" w:rsidRPr="00B901C8">
        <w:rPr>
          <w:u w:val="single"/>
          <w:lang w:val="fr-BE"/>
        </w:rPr>
        <w:t>Classement sur base des accouchements 2011</w:t>
      </w:r>
    </w:p>
    <w:p w:rsidR="0049323F" w:rsidRPr="00B901C8" w:rsidRDefault="0049323F" w:rsidP="000E2BDA">
      <w:pPr>
        <w:spacing w:after="0"/>
        <w:rPr>
          <w:lang w:val="fr-BE"/>
        </w:rPr>
      </w:pPr>
    </w:p>
    <w:p w:rsidR="0049323F" w:rsidRPr="00B901C8" w:rsidRDefault="00B901C8" w:rsidP="000E2BDA">
      <w:pPr>
        <w:spacing w:after="0"/>
        <w:rPr>
          <w:lang w:val="fr-BE"/>
        </w:rPr>
      </w:pPr>
      <w:r w:rsidRPr="00B901C8">
        <w:rPr>
          <w:lang w:val="fr-BE"/>
        </w:rPr>
        <w:t>Dans cette annexe un aperçu est donné du nombre total d’accouchements observés au cours de cette période de 4 ans</w:t>
      </w:r>
      <w:r>
        <w:rPr>
          <w:lang w:val="fr-BE"/>
        </w:rPr>
        <w:t xml:space="preserve">. </w:t>
      </w:r>
      <w:r w:rsidRPr="00B901C8">
        <w:rPr>
          <w:lang w:val="fr-BE"/>
        </w:rPr>
        <w:t xml:space="preserve">Les maternités sont classées sur base du volume réalisé en </w:t>
      </w:r>
      <w:r w:rsidR="0049323F" w:rsidRPr="00B901C8">
        <w:rPr>
          <w:lang w:val="fr-BE"/>
        </w:rPr>
        <w:t>2011.</w:t>
      </w:r>
    </w:p>
    <w:p w:rsidR="0049323F" w:rsidRPr="00B901C8" w:rsidRDefault="0049323F" w:rsidP="000E2BDA">
      <w:pPr>
        <w:spacing w:after="0"/>
        <w:rPr>
          <w:lang w:val="fr-BE"/>
        </w:rPr>
      </w:pPr>
    </w:p>
    <w:p w:rsidR="0049323F" w:rsidRDefault="00B5553F" w:rsidP="000E2BDA">
      <w:pPr>
        <w:spacing w:after="0"/>
        <w:rPr>
          <w:lang w:val="fr-BE"/>
        </w:rPr>
      </w:pPr>
      <w:r w:rsidRPr="00B5553F">
        <w:rPr>
          <w:lang w:val="fr-BE"/>
        </w:rPr>
        <w:t>Les deux dernières colonnes donnent respectivement la quote-part de chaque maternité dans le total des accouchements en 2011 et la quote-part cumulée des X premières maternités dans le total des accouchements. Ainsi, les trois plus grandes maternités en Belgique</w:t>
      </w:r>
      <w:r w:rsidR="000E2BDA" w:rsidRPr="00B5553F">
        <w:rPr>
          <w:lang w:val="fr-BE"/>
        </w:rPr>
        <w:t xml:space="preserve"> (</w:t>
      </w:r>
      <w:proofErr w:type="spellStart"/>
      <w:r w:rsidR="000E2BDA" w:rsidRPr="00B5553F">
        <w:rPr>
          <w:lang w:val="fr-BE"/>
        </w:rPr>
        <w:t>Gasthuiszusters</w:t>
      </w:r>
      <w:proofErr w:type="spellEnd"/>
      <w:r w:rsidR="000E2BDA" w:rsidRPr="00B5553F">
        <w:rPr>
          <w:lang w:val="fr-BE"/>
        </w:rPr>
        <w:t xml:space="preserve"> </w:t>
      </w:r>
      <w:proofErr w:type="spellStart"/>
      <w:r w:rsidR="000E2BDA" w:rsidRPr="00B5553F">
        <w:rPr>
          <w:lang w:val="fr-BE"/>
        </w:rPr>
        <w:t>A’pen</w:t>
      </w:r>
      <w:proofErr w:type="spellEnd"/>
      <w:r w:rsidR="000E2BDA" w:rsidRPr="00B5553F">
        <w:rPr>
          <w:lang w:val="fr-BE"/>
        </w:rPr>
        <w:t>, St-Vincent – Ste-Elisabeth Liège e</w:t>
      </w:r>
      <w:r w:rsidRPr="00B5553F">
        <w:rPr>
          <w:lang w:val="fr-BE"/>
        </w:rPr>
        <w:t>t</w:t>
      </w:r>
      <w:r w:rsidR="000E2BDA" w:rsidRPr="00B5553F">
        <w:rPr>
          <w:lang w:val="fr-BE"/>
        </w:rPr>
        <w:t xml:space="preserve"> Edith Cavell</w:t>
      </w:r>
      <w:r w:rsidR="005D5EEC" w:rsidRPr="00B5553F">
        <w:rPr>
          <w:lang w:val="fr-BE"/>
        </w:rPr>
        <w:t xml:space="preserve"> Bru</w:t>
      </w:r>
      <w:r w:rsidRPr="00B5553F">
        <w:rPr>
          <w:lang w:val="fr-BE"/>
        </w:rPr>
        <w:t>xelles</w:t>
      </w:r>
      <w:r w:rsidR="000E2BDA" w:rsidRPr="00B5553F">
        <w:rPr>
          <w:lang w:val="fr-BE"/>
        </w:rPr>
        <w:t xml:space="preserve">) </w:t>
      </w:r>
      <w:r>
        <w:rPr>
          <w:lang w:val="fr-BE"/>
        </w:rPr>
        <w:t xml:space="preserve">représentent plus de </w:t>
      </w:r>
      <w:r w:rsidR="000E2BDA" w:rsidRPr="00B5553F">
        <w:rPr>
          <w:lang w:val="fr-BE"/>
        </w:rPr>
        <w:t xml:space="preserve">10% </w:t>
      </w:r>
      <w:r>
        <w:rPr>
          <w:lang w:val="fr-BE"/>
        </w:rPr>
        <w:t>du total des accouchements effectués en milieu hospitalier</w:t>
      </w:r>
      <w:r w:rsidR="000E2BDA" w:rsidRPr="00B5553F">
        <w:rPr>
          <w:lang w:val="fr-BE"/>
        </w:rPr>
        <w:t>.</w:t>
      </w:r>
    </w:p>
    <w:p w:rsidR="0015766F" w:rsidRDefault="0015766F" w:rsidP="000E2BDA">
      <w:pPr>
        <w:spacing w:after="0"/>
        <w:rPr>
          <w:lang w:val="fr-BE"/>
        </w:rPr>
      </w:pPr>
    </w:p>
    <w:p w:rsidR="0015766F" w:rsidRPr="00B5553F" w:rsidRDefault="0015766F" w:rsidP="000E2BDA">
      <w:pPr>
        <w:spacing w:after="0"/>
        <w:rPr>
          <w:lang w:val="fr-BE"/>
        </w:rPr>
      </w:pPr>
      <w:r>
        <w:rPr>
          <w:lang w:val="fr-BE"/>
        </w:rPr>
        <w:t xml:space="preserve">Dans l’annexe 3bis (années 2008-2012), trois colonnes supplémentaires sont rajoutées : le total des accouchements attestés pendant ces 5 ans, le nombre moyen d’accouchements sur cette période et </w:t>
      </w:r>
      <w:r w:rsidR="00D20C01">
        <w:rPr>
          <w:lang w:val="fr-BE"/>
        </w:rPr>
        <w:t>l’évolution</w:t>
      </w:r>
      <w:r>
        <w:rPr>
          <w:lang w:val="fr-BE"/>
        </w:rPr>
        <w:t xml:space="preserve"> du volume d’accouchements constaté</w:t>
      </w:r>
      <w:r w:rsidR="00D20C01">
        <w:rPr>
          <w:lang w:val="fr-BE"/>
        </w:rPr>
        <w:t>e</w:t>
      </w:r>
      <w:r>
        <w:rPr>
          <w:lang w:val="fr-BE"/>
        </w:rPr>
        <w:t xml:space="preserve"> par maternité.</w:t>
      </w:r>
    </w:p>
    <w:p w:rsidR="000E2BDA" w:rsidRPr="00B5553F" w:rsidRDefault="000E2BDA" w:rsidP="000E2BDA">
      <w:pPr>
        <w:spacing w:after="0"/>
        <w:rPr>
          <w:lang w:val="fr-BE"/>
        </w:rPr>
      </w:pPr>
    </w:p>
    <w:p w:rsidR="0015766F" w:rsidRDefault="0015766F">
      <w:pPr>
        <w:rPr>
          <w:b/>
          <w:i/>
          <w:lang w:val="fr-BE"/>
        </w:rPr>
      </w:pPr>
      <w:r>
        <w:rPr>
          <w:b/>
          <w:i/>
          <w:lang w:val="fr-BE"/>
        </w:rPr>
        <w:br w:type="page"/>
      </w:r>
    </w:p>
    <w:p w:rsidR="00532CA9" w:rsidRPr="00B5553F" w:rsidRDefault="00532CA9" w:rsidP="005D5EEC">
      <w:pPr>
        <w:spacing w:after="0"/>
        <w:ind w:left="709" w:hanging="709"/>
        <w:rPr>
          <w:b/>
          <w:i/>
          <w:lang w:val="fr-BE"/>
        </w:rPr>
      </w:pPr>
      <w:r w:rsidRPr="00B5553F">
        <w:rPr>
          <w:b/>
          <w:i/>
          <w:lang w:val="fr-BE"/>
        </w:rPr>
        <w:lastRenderedPageBreak/>
        <w:t>I</w:t>
      </w:r>
      <w:r w:rsidR="005D5EEC" w:rsidRPr="00B5553F">
        <w:rPr>
          <w:b/>
          <w:i/>
          <w:lang w:val="fr-BE"/>
        </w:rPr>
        <w:t>I</w:t>
      </w:r>
      <w:r w:rsidRPr="00B5553F">
        <w:rPr>
          <w:b/>
          <w:i/>
          <w:lang w:val="fr-BE"/>
        </w:rPr>
        <w:t>I.</w:t>
      </w:r>
      <w:r w:rsidRPr="00B5553F">
        <w:rPr>
          <w:b/>
          <w:i/>
          <w:lang w:val="fr-BE"/>
        </w:rPr>
        <w:tab/>
      </w:r>
      <w:r w:rsidR="00B5553F" w:rsidRPr="00B5553F">
        <w:rPr>
          <w:b/>
          <w:i/>
          <w:lang w:val="fr-BE"/>
        </w:rPr>
        <w:t>Annexes contenant de l’information relative aux caractéristiques (des séjours) des patientes ayant accouché</w:t>
      </w:r>
    </w:p>
    <w:p w:rsidR="00532CA9" w:rsidRPr="00B5553F" w:rsidRDefault="00532CA9" w:rsidP="000E2BDA">
      <w:pPr>
        <w:spacing w:after="0"/>
        <w:rPr>
          <w:lang w:val="fr-BE"/>
        </w:rPr>
      </w:pPr>
    </w:p>
    <w:p w:rsidR="000E2BDA" w:rsidRPr="00B5553F" w:rsidRDefault="000E2BDA" w:rsidP="000E2BDA">
      <w:pPr>
        <w:spacing w:after="0"/>
        <w:rPr>
          <w:lang w:val="fr-BE"/>
        </w:rPr>
      </w:pPr>
      <w:r w:rsidRPr="00B5553F">
        <w:rPr>
          <w:lang w:val="fr-BE"/>
        </w:rPr>
        <w:t>2.4.</w:t>
      </w:r>
      <w:r w:rsidRPr="00B5553F">
        <w:rPr>
          <w:lang w:val="fr-BE"/>
        </w:rPr>
        <w:tab/>
      </w:r>
      <w:r w:rsidR="00B5553F" w:rsidRPr="00B5553F">
        <w:rPr>
          <w:u w:val="single"/>
          <w:lang w:val="fr-BE"/>
        </w:rPr>
        <w:t>Annexe 4 - Accouchements 2011 par institution - caractéristiques de la patientèle globale</w:t>
      </w:r>
    </w:p>
    <w:p w:rsidR="0049323F" w:rsidRPr="00B5553F" w:rsidRDefault="0049323F" w:rsidP="000E2BDA">
      <w:pPr>
        <w:spacing w:after="0"/>
        <w:rPr>
          <w:lang w:val="fr-BE"/>
        </w:rPr>
      </w:pPr>
    </w:p>
    <w:p w:rsidR="000E2BDA" w:rsidRPr="00B5553F" w:rsidRDefault="00B5553F" w:rsidP="000E2BDA">
      <w:pPr>
        <w:spacing w:after="0"/>
        <w:rPr>
          <w:lang w:val="fr-BE"/>
        </w:rPr>
      </w:pPr>
      <w:r w:rsidRPr="00B5553F">
        <w:rPr>
          <w:lang w:val="fr-BE"/>
        </w:rPr>
        <w:t>L’annexe 4 donne un aperçu des caractéristiques personnelles et de séjour pour les accouchements en maternité. Les maternité sont classées sur base de leur numéro INAMI</w:t>
      </w:r>
      <w:r w:rsidR="000E2BDA" w:rsidRPr="00B5553F">
        <w:rPr>
          <w:lang w:val="fr-BE"/>
        </w:rPr>
        <w:t>.</w:t>
      </w:r>
    </w:p>
    <w:p w:rsidR="000E2BDA" w:rsidRPr="00B5553F" w:rsidRDefault="000E2BDA" w:rsidP="000E2BDA">
      <w:pPr>
        <w:spacing w:after="0"/>
        <w:rPr>
          <w:lang w:val="fr-BE"/>
        </w:rPr>
      </w:pPr>
    </w:p>
    <w:p w:rsidR="000E2BDA" w:rsidRDefault="00B5553F" w:rsidP="000E2BDA">
      <w:pPr>
        <w:spacing w:after="0"/>
        <w:rPr>
          <w:lang w:val="nl-BE"/>
        </w:rPr>
      </w:pPr>
      <w:proofErr w:type="spellStart"/>
      <w:r>
        <w:rPr>
          <w:lang w:val="nl-BE"/>
        </w:rPr>
        <w:t>Signif</w:t>
      </w:r>
      <w:r w:rsidR="00D20C01">
        <w:rPr>
          <w:lang w:val="nl-BE"/>
        </w:rPr>
        <w:t>ic</w:t>
      </w:r>
      <w:r>
        <w:rPr>
          <w:lang w:val="nl-BE"/>
        </w:rPr>
        <w:t>ation</w:t>
      </w:r>
      <w:proofErr w:type="spellEnd"/>
      <w:r>
        <w:rPr>
          <w:lang w:val="nl-BE"/>
        </w:rPr>
        <w:t xml:space="preserve"> des colonnes</w:t>
      </w:r>
      <w:r w:rsidR="000E2BDA">
        <w:rPr>
          <w:lang w:val="nl-BE"/>
        </w:rPr>
        <w:t>:</w:t>
      </w:r>
    </w:p>
    <w:p w:rsidR="000E2BDA" w:rsidRDefault="000E2BDA" w:rsidP="000E2BDA">
      <w:pPr>
        <w:spacing w:after="0"/>
        <w:rPr>
          <w:lang w:val="nl-BE"/>
        </w:rPr>
      </w:pPr>
    </w:p>
    <w:p w:rsidR="000E2BDA" w:rsidRPr="00AA4B3B" w:rsidRDefault="00B5553F" w:rsidP="00B5553F">
      <w:pPr>
        <w:pStyle w:val="ListParagraph"/>
        <w:numPr>
          <w:ilvl w:val="0"/>
          <w:numId w:val="19"/>
        </w:numPr>
        <w:spacing w:after="0"/>
        <w:rPr>
          <w:lang w:val="fr-BE"/>
        </w:rPr>
      </w:pPr>
      <w:r w:rsidRPr="00AA4B3B">
        <w:rPr>
          <w:lang w:val="fr-BE"/>
        </w:rPr>
        <w:t xml:space="preserve">Les quatre premières </w:t>
      </w:r>
      <w:proofErr w:type="spellStart"/>
      <w:r w:rsidRPr="00AA4B3B">
        <w:rPr>
          <w:lang w:val="fr-BE"/>
        </w:rPr>
        <w:t>colonnnes</w:t>
      </w:r>
      <w:proofErr w:type="spellEnd"/>
      <w:r w:rsidRPr="00AA4B3B">
        <w:rPr>
          <w:lang w:val="fr-BE"/>
        </w:rPr>
        <w:t xml:space="preserve"> donnent un aperçu en montants absolus et relatifs de la quote-part des césariennes par maternité (</w:t>
      </w:r>
      <w:proofErr w:type="spellStart"/>
      <w:r w:rsidRPr="00AA4B3B">
        <w:rPr>
          <w:i/>
          <w:lang w:val="fr-BE"/>
        </w:rPr>
        <w:t>Nbe</w:t>
      </w:r>
      <w:proofErr w:type="spellEnd"/>
      <w:r w:rsidRPr="00AA4B3B">
        <w:rPr>
          <w:i/>
          <w:lang w:val="fr-BE"/>
        </w:rPr>
        <w:t xml:space="preserve"> César., </w:t>
      </w:r>
      <w:proofErr w:type="spellStart"/>
      <w:r w:rsidRPr="00AA4B3B">
        <w:rPr>
          <w:i/>
          <w:lang w:val="fr-BE"/>
        </w:rPr>
        <w:t>Nbe</w:t>
      </w:r>
      <w:proofErr w:type="spellEnd"/>
      <w:r w:rsidRPr="00AA4B3B">
        <w:rPr>
          <w:i/>
          <w:lang w:val="fr-BE"/>
        </w:rPr>
        <w:t xml:space="preserve"> </w:t>
      </w:r>
      <w:proofErr w:type="spellStart"/>
      <w:r w:rsidRPr="00AA4B3B">
        <w:rPr>
          <w:i/>
          <w:lang w:val="fr-BE"/>
        </w:rPr>
        <w:t>acc</w:t>
      </w:r>
      <w:proofErr w:type="spellEnd"/>
      <w:r w:rsidRPr="00AA4B3B">
        <w:rPr>
          <w:i/>
          <w:lang w:val="fr-BE"/>
        </w:rPr>
        <w:t>. voie basse, Total général, % César.</w:t>
      </w:r>
      <w:r w:rsidRPr="00AA4B3B">
        <w:rPr>
          <w:lang w:val="fr-BE"/>
        </w:rPr>
        <w:t>)</w:t>
      </w:r>
    </w:p>
    <w:p w:rsidR="00686F16" w:rsidRPr="00AA4B3B" w:rsidRDefault="00B5553F" w:rsidP="00B5553F">
      <w:pPr>
        <w:pStyle w:val="ListParagraph"/>
        <w:numPr>
          <w:ilvl w:val="0"/>
          <w:numId w:val="19"/>
        </w:numPr>
        <w:spacing w:after="0"/>
        <w:rPr>
          <w:i/>
          <w:lang w:val="fr-BE"/>
        </w:rPr>
      </w:pPr>
      <w:r w:rsidRPr="00AA4B3B">
        <w:rPr>
          <w:i/>
          <w:lang w:val="fr-BE"/>
        </w:rPr>
        <w:t>Age moyen</w:t>
      </w:r>
      <w:r w:rsidR="00686F16" w:rsidRPr="00AA4B3B">
        <w:rPr>
          <w:lang w:val="fr-BE"/>
        </w:rPr>
        <w:t xml:space="preserve">: </w:t>
      </w:r>
      <w:r w:rsidRPr="00AA4B3B">
        <w:rPr>
          <w:lang w:val="fr-BE"/>
        </w:rPr>
        <w:t>âge moyen des femmes ayant accouché par maternité</w:t>
      </w:r>
    </w:p>
    <w:p w:rsidR="00686F16" w:rsidRPr="00AA4B3B" w:rsidRDefault="00B5553F" w:rsidP="00B5553F">
      <w:pPr>
        <w:pStyle w:val="ListParagraph"/>
        <w:numPr>
          <w:ilvl w:val="0"/>
          <w:numId w:val="19"/>
        </w:numPr>
        <w:spacing w:after="0"/>
        <w:rPr>
          <w:i/>
          <w:lang w:val="fr-BE"/>
        </w:rPr>
      </w:pPr>
      <w:r w:rsidRPr="00AA4B3B">
        <w:rPr>
          <w:i/>
          <w:lang w:val="fr-BE"/>
        </w:rPr>
        <w:t>% BIM</w:t>
      </w:r>
      <w:r w:rsidR="00686F16" w:rsidRPr="00AA4B3B">
        <w:rPr>
          <w:lang w:val="fr-BE"/>
        </w:rPr>
        <w:t xml:space="preserve">: </w:t>
      </w:r>
      <w:r w:rsidRPr="00AA4B3B">
        <w:rPr>
          <w:lang w:val="fr-BE"/>
        </w:rPr>
        <w:t>quote-part des femmes ayant accouché bénéficiant de l’intervention majorée (BIM)</w:t>
      </w:r>
    </w:p>
    <w:p w:rsidR="00686F16" w:rsidRPr="00AA4B3B" w:rsidRDefault="00611E87" w:rsidP="00686F16">
      <w:pPr>
        <w:pStyle w:val="ListParagraph"/>
        <w:numPr>
          <w:ilvl w:val="0"/>
          <w:numId w:val="19"/>
        </w:numPr>
        <w:spacing w:after="0"/>
        <w:rPr>
          <w:i/>
          <w:lang w:val="fr-BE"/>
        </w:rPr>
      </w:pPr>
      <w:proofErr w:type="spellStart"/>
      <w:r w:rsidRPr="00AA4B3B">
        <w:rPr>
          <w:i/>
          <w:lang w:val="fr-BE"/>
        </w:rPr>
        <w:t>Nbe</w:t>
      </w:r>
      <w:proofErr w:type="spellEnd"/>
      <w:r w:rsidRPr="00AA4B3B">
        <w:rPr>
          <w:i/>
          <w:lang w:val="fr-BE"/>
        </w:rPr>
        <w:t xml:space="preserve"> de -16</w:t>
      </w:r>
      <w:r w:rsidR="00686F16" w:rsidRPr="00AA4B3B">
        <w:rPr>
          <w:i/>
          <w:lang w:val="fr-BE"/>
        </w:rPr>
        <w:t>/</w:t>
      </w:r>
      <w:proofErr w:type="spellStart"/>
      <w:r w:rsidRPr="00AA4B3B">
        <w:rPr>
          <w:i/>
          <w:lang w:val="fr-BE"/>
        </w:rPr>
        <w:t>Nbe</w:t>
      </w:r>
      <w:proofErr w:type="spellEnd"/>
      <w:r w:rsidRPr="00AA4B3B">
        <w:rPr>
          <w:i/>
          <w:lang w:val="fr-BE"/>
        </w:rPr>
        <w:t xml:space="preserve"> de +40</w:t>
      </w:r>
      <w:r w:rsidR="00686F16" w:rsidRPr="00AA4B3B">
        <w:rPr>
          <w:i/>
          <w:lang w:val="fr-BE"/>
        </w:rPr>
        <w:t xml:space="preserve">: </w:t>
      </w:r>
      <w:r w:rsidRPr="00AA4B3B">
        <w:rPr>
          <w:lang w:val="fr-BE"/>
        </w:rPr>
        <w:t>nombre a</w:t>
      </w:r>
      <w:r w:rsidR="00686F16" w:rsidRPr="00AA4B3B">
        <w:rPr>
          <w:lang w:val="fr-BE"/>
        </w:rPr>
        <w:t>bsolu</w:t>
      </w:r>
      <w:r w:rsidRPr="00AA4B3B">
        <w:rPr>
          <w:lang w:val="fr-BE"/>
        </w:rPr>
        <w:t xml:space="preserve"> de femmes en dessous de 16 ans et au</w:t>
      </w:r>
      <w:r w:rsidR="0015766F">
        <w:rPr>
          <w:lang w:val="fr-BE"/>
        </w:rPr>
        <w:t>-</w:t>
      </w:r>
      <w:r w:rsidRPr="00AA4B3B">
        <w:rPr>
          <w:lang w:val="fr-BE"/>
        </w:rPr>
        <w:t>dessus de 40 ans ayant accouché en maternité</w:t>
      </w:r>
    </w:p>
    <w:p w:rsidR="00686F16" w:rsidRPr="00611E87" w:rsidRDefault="00686F16" w:rsidP="00686F16">
      <w:pPr>
        <w:pStyle w:val="ListParagraph"/>
        <w:numPr>
          <w:ilvl w:val="0"/>
          <w:numId w:val="19"/>
        </w:numPr>
        <w:spacing w:after="0"/>
        <w:rPr>
          <w:i/>
          <w:lang w:val="fr-BE"/>
        </w:rPr>
      </w:pPr>
      <w:r w:rsidRPr="00611E87">
        <w:rPr>
          <w:i/>
          <w:lang w:val="fr-BE"/>
        </w:rPr>
        <w:t>% comorbidit</w:t>
      </w:r>
      <w:r w:rsidR="00611E87" w:rsidRPr="00611E87">
        <w:rPr>
          <w:i/>
          <w:lang w:val="fr-BE"/>
        </w:rPr>
        <w:t>é</w:t>
      </w:r>
      <w:r w:rsidRPr="00611E87">
        <w:rPr>
          <w:i/>
          <w:lang w:val="fr-BE"/>
        </w:rPr>
        <w:t xml:space="preserve">: </w:t>
      </w:r>
      <w:r w:rsidR="00611E87" w:rsidRPr="00611E87">
        <w:rPr>
          <w:lang w:val="fr-BE"/>
        </w:rPr>
        <w:t xml:space="preserve">quote-part des femmes chez qui au cours des 280 jours précédant l’accouchement (et </w:t>
      </w:r>
      <w:r w:rsidRPr="00611E87">
        <w:rPr>
          <w:lang w:val="fr-BE"/>
        </w:rPr>
        <w:t>21 m</w:t>
      </w:r>
      <w:r w:rsidR="00611E87" w:rsidRPr="00611E87">
        <w:rPr>
          <w:lang w:val="fr-BE"/>
        </w:rPr>
        <w:t>ois pour les patientes souffrantes de diabètes chronique)</w:t>
      </w:r>
      <w:r w:rsidRPr="00611E87">
        <w:rPr>
          <w:lang w:val="fr-BE"/>
        </w:rPr>
        <w:t xml:space="preserve"> </w:t>
      </w:r>
      <w:r w:rsidR="00611E87" w:rsidRPr="00611E87">
        <w:rPr>
          <w:lang w:val="fr-BE"/>
        </w:rPr>
        <w:t>se sont vues délivrer plus de 90 DDD d’un médicament contre une maladie chronique (ou 90 DDD ou plus au cours des 280 jours + 90 DDD ou plus au cours de l’année précédant les 280 jours</w:t>
      </w:r>
      <w:r w:rsidR="00611E87">
        <w:rPr>
          <w:lang w:val="fr-BE"/>
        </w:rPr>
        <w:t>, afin de pouvoir faire une distinction entre diabète chronique et diabètes de grossesse</w:t>
      </w:r>
      <w:r w:rsidRPr="00611E87">
        <w:rPr>
          <w:lang w:val="fr-BE"/>
        </w:rPr>
        <w:t>).</w:t>
      </w:r>
    </w:p>
    <w:p w:rsidR="00686F16" w:rsidRPr="00611E87" w:rsidRDefault="00686F16" w:rsidP="00686F16">
      <w:pPr>
        <w:spacing w:after="0"/>
        <w:rPr>
          <w:i/>
          <w:lang w:val="fr-BE"/>
        </w:rPr>
      </w:pPr>
    </w:p>
    <w:p w:rsidR="00686F16" w:rsidRPr="00611E87" w:rsidRDefault="00611E87" w:rsidP="00686F16">
      <w:pPr>
        <w:spacing w:after="0"/>
        <w:rPr>
          <w:lang w:val="fr-BE"/>
        </w:rPr>
      </w:pPr>
      <w:r w:rsidRPr="00611E87">
        <w:rPr>
          <w:lang w:val="fr-BE"/>
        </w:rPr>
        <w:t xml:space="preserve">Vous trouverez ci-dessous les affections (chroniques) sélectionnées </w:t>
      </w:r>
      <w:r w:rsidR="00451F7B">
        <w:rPr>
          <w:lang w:val="fr-BE"/>
        </w:rPr>
        <w:t>et le nombre de femmes enceintes s’étant vues attester</w:t>
      </w:r>
      <w:r w:rsidR="00451F7B">
        <w:rPr>
          <w:rStyle w:val="FootnoteReference"/>
          <w:lang w:val="fr-BE"/>
        </w:rPr>
        <w:footnoteReference w:id="4"/>
      </w:r>
      <w:r w:rsidR="00451F7B">
        <w:rPr>
          <w:lang w:val="fr-BE"/>
        </w:rPr>
        <w:t xml:space="preserve"> ces médicaments (cf. Rapport soins prénataux </w:t>
      </w:r>
      <w:r w:rsidR="00CC641D" w:rsidRPr="00611E87">
        <w:rPr>
          <w:lang w:val="fr-BE"/>
        </w:rPr>
        <w:t>(d</w:t>
      </w:r>
      <w:r>
        <w:rPr>
          <w:lang w:val="fr-BE"/>
        </w:rPr>
        <w:t>onnées</w:t>
      </w:r>
      <w:r w:rsidR="00CC641D" w:rsidRPr="00611E87">
        <w:rPr>
          <w:lang w:val="fr-BE"/>
        </w:rPr>
        <w:t xml:space="preserve"> 2010 – </w:t>
      </w:r>
      <w:r>
        <w:rPr>
          <w:lang w:val="fr-BE"/>
        </w:rPr>
        <w:t>accouchemen</w:t>
      </w:r>
      <w:r w:rsidR="0015766F">
        <w:rPr>
          <w:lang w:val="fr-BE"/>
        </w:rPr>
        <w:t>t</w:t>
      </w:r>
      <w:r>
        <w:rPr>
          <w:lang w:val="fr-BE"/>
        </w:rPr>
        <w:t>s ayant eu lieu entre le</w:t>
      </w:r>
      <w:r w:rsidR="00CC641D" w:rsidRPr="00611E87">
        <w:rPr>
          <w:lang w:val="fr-BE"/>
        </w:rPr>
        <w:t xml:space="preserve"> 1/4/2010 e</w:t>
      </w:r>
      <w:r>
        <w:rPr>
          <w:lang w:val="fr-BE"/>
        </w:rPr>
        <w:t>t le</w:t>
      </w:r>
      <w:r w:rsidR="00CC641D" w:rsidRPr="00611E87">
        <w:rPr>
          <w:lang w:val="fr-BE"/>
        </w:rPr>
        <w:t xml:space="preserve"> 30/6/2010 en </w:t>
      </w:r>
      <w:r>
        <w:rPr>
          <w:lang w:val="fr-BE"/>
        </w:rPr>
        <w:t>entre le</w:t>
      </w:r>
      <w:r w:rsidR="00CC641D" w:rsidRPr="00611E87">
        <w:rPr>
          <w:lang w:val="fr-BE"/>
        </w:rPr>
        <w:t xml:space="preserve"> 1/10/2010 </w:t>
      </w:r>
      <w:r>
        <w:rPr>
          <w:lang w:val="fr-BE"/>
        </w:rPr>
        <w:t xml:space="preserve">et le </w:t>
      </w:r>
      <w:r w:rsidR="00CC641D" w:rsidRPr="00611E87">
        <w:rPr>
          <w:lang w:val="fr-BE"/>
        </w:rPr>
        <w:t>31/12/2010))</w:t>
      </w:r>
    </w:p>
    <w:p w:rsidR="000E2BDA" w:rsidRPr="00611E87" w:rsidRDefault="000E2BDA" w:rsidP="000E2BDA">
      <w:pPr>
        <w:spacing w:after="0"/>
        <w:rPr>
          <w:lang w:val="fr-BE"/>
        </w:rPr>
      </w:pPr>
    </w:p>
    <w:p w:rsidR="00686F16" w:rsidRDefault="00686F16" w:rsidP="000E2BDA">
      <w:pPr>
        <w:spacing w:after="0"/>
        <w:rPr>
          <w:lang w:val="nl-BE"/>
        </w:rPr>
      </w:pPr>
      <w:r w:rsidRPr="00B04B34">
        <w:rPr>
          <w:rFonts w:ascii="Trebuchet MS" w:hAnsi="Trebuchet MS"/>
          <w:noProof/>
        </w:rPr>
        <w:lastRenderedPageBreak/>
        <w:drawing>
          <wp:inline distT="0" distB="0" distL="0" distR="0" wp14:anchorId="742AAEBB" wp14:editId="247E3971">
            <wp:extent cx="5760720" cy="4648256"/>
            <wp:effectExtent l="19050" t="0" r="0" b="0"/>
            <wp:docPr id="3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760720" cy="4648256"/>
                    </a:xfrm>
                    <a:prstGeom prst="rect">
                      <a:avLst/>
                    </a:prstGeom>
                    <a:noFill/>
                    <a:ln w="9525">
                      <a:noFill/>
                      <a:miter lim="800000"/>
                      <a:headEnd/>
                      <a:tailEnd/>
                    </a:ln>
                  </pic:spPr>
                </pic:pic>
              </a:graphicData>
            </a:graphic>
          </wp:inline>
        </w:drawing>
      </w:r>
    </w:p>
    <w:p w:rsidR="00686F16" w:rsidRDefault="00686F16" w:rsidP="000E2BDA">
      <w:pPr>
        <w:spacing w:after="0"/>
        <w:rPr>
          <w:lang w:val="nl-BE"/>
        </w:rPr>
      </w:pPr>
    </w:p>
    <w:p w:rsidR="00CC641D" w:rsidRPr="00C13B7E" w:rsidRDefault="00611E87" w:rsidP="00611E87">
      <w:pPr>
        <w:pStyle w:val="ListParagraph"/>
        <w:numPr>
          <w:ilvl w:val="0"/>
          <w:numId w:val="20"/>
        </w:numPr>
        <w:spacing w:after="0"/>
        <w:rPr>
          <w:lang w:val="fr-BE"/>
        </w:rPr>
      </w:pPr>
      <w:r w:rsidRPr="00C13B7E">
        <w:rPr>
          <w:i/>
          <w:lang w:val="fr-BE"/>
        </w:rPr>
        <w:t xml:space="preserve">% </w:t>
      </w:r>
      <w:proofErr w:type="spellStart"/>
      <w:r w:rsidRPr="00C13B7E">
        <w:rPr>
          <w:i/>
          <w:lang w:val="fr-BE"/>
        </w:rPr>
        <w:t>gross</w:t>
      </w:r>
      <w:proofErr w:type="spellEnd"/>
      <w:r w:rsidRPr="00C13B7E">
        <w:rPr>
          <w:i/>
          <w:lang w:val="fr-BE"/>
        </w:rPr>
        <w:t>. à risque</w:t>
      </w:r>
      <w:r w:rsidR="00CC641D" w:rsidRPr="00C13B7E">
        <w:rPr>
          <w:i/>
          <w:lang w:val="fr-BE"/>
        </w:rPr>
        <w:t>:</w:t>
      </w:r>
      <w:r w:rsidR="00CC641D" w:rsidRPr="00C13B7E">
        <w:rPr>
          <w:lang w:val="fr-BE"/>
        </w:rPr>
        <w:t xml:space="preserve"> </w:t>
      </w:r>
      <w:r w:rsidRPr="00C13B7E">
        <w:rPr>
          <w:lang w:val="fr-BE"/>
        </w:rPr>
        <w:t xml:space="preserve">quote-part des femmes ayant accouché dans la maternité </w:t>
      </w:r>
      <w:r w:rsidR="00C13B7E" w:rsidRPr="00C13B7E">
        <w:rPr>
          <w:lang w:val="fr-BE"/>
        </w:rPr>
        <w:t>répondant à (au moins) un des critères suivants:</w:t>
      </w:r>
    </w:p>
    <w:p w:rsidR="00CC641D" w:rsidRDefault="00C13B7E" w:rsidP="00CC641D">
      <w:pPr>
        <w:pStyle w:val="ListParagraph"/>
        <w:numPr>
          <w:ilvl w:val="1"/>
          <w:numId w:val="20"/>
        </w:numPr>
        <w:spacing w:after="0"/>
        <w:rPr>
          <w:lang w:val="nl-BE"/>
        </w:rPr>
      </w:pPr>
      <w:proofErr w:type="spellStart"/>
      <w:r>
        <w:rPr>
          <w:lang w:val="nl-BE"/>
        </w:rPr>
        <w:t>Ayant</w:t>
      </w:r>
      <w:proofErr w:type="spellEnd"/>
      <w:r>
        <w:rPr>
          <w:lang w:val="nl-BE"/>
        </w:rPr>
        <w:t xml:space="preserve"> </w:t>
      </w:r>
      <w:proofErr w:type="spellStart"/>
      <w:r>
        <w:rPr>
          <w:lang w:val="nl-BE"/>
        </w:rPr>
        <w:t>droit</w:t>
      </w:r>
      <w:proofErr w:type="spellEnd"/>
      <w:r>
        <w:rPr>
          <w:lang w:val="nl-BE"/>
        </w:rPr>
        <w:t xml:space="preserve"> à </w:t>
      </w:r>
      <w:proofErr w:type="spellStart"/>
      <w:r>
        <w:rPr>
          <w:lang w:val="nl-BE"/>
        </w:rPr>
        <w:t>l’intervention</w:t>
      </w:r>
      <w:proofErr w:type="spellEnd"/>
      <w:r>
        <w:rPr>
          <w:lang w:val="nl-BE"/>
        </w:rPr>
        <w:t xml:space="preserve"> </w:t>
      </w:r>
      <w:proofErr w:type="spellStart"/>
      <w:r>
        <w:rPr>
          <w:lang w:val="nl-BE"/>
        </w:rPr>
        <w:t>majorée</w:t>
      </w:r>
      <w:proofErr w:type="spellEnd"/>
    </w:p>
    <w:p w:rsidR="00CC641D" w:rsidRPr="00C13B7E" w:rsidRDefault="00C13B7E" w:rsidP="00CC641D">
      <w:pPr>
        <w:pStyle w:val="ListParagraph"/>
        <w:numPr>
          <w:ilvl w:val="1"/>
          <w:numId w:val="20"/>
        </w:numPr>
        <w:spacing w:after="0"/>
        <w:rPr>
          <w:lang w:val="fr-BE"/>
        </w:rPr>
      </w:pPr>
      <w:r w:rsidRPr="00C13B7E">
        <w:rPr>
          <w:lang w:val="fr-BE"/>
        </w:rPr>
        <w:t>Plus jeune que 16 ans ou plus vieille que 40</w:t>
      </w:r>
    </w:p>
    <w:p w:rsidR="00CC641D" w:rsidRPr="00C13B7E" w:rsidRDefault="00C13B7E" w:rsidP="00CC641D">
      <w:pPr>
        <w:pStyle w:val="ListParagraph"/>
        <w:numPr>
          <w:ilvl w:val="1"/>
          <w:numId w:val="20"/>
        </w:numPr>
        <w:spacing w:after="0"/>
        <w:rPr>
          <w:lang w:val="fr-BE"/>
        </w:rPr>
      </w:pPr>
      <w:r w:rsidRPr="00C13B7E">
        <w:rPr>
          <w:lang w:val="fr-BE"/>
        </w:rPr>
        <w:t xml:space="preserve">Présentant une consommation de plus de </w:t>
      </w:r>
      <w:r w:rsidR="00CC641D" w:rsidRPr="00C13B7E">
        <w:rPr>
          <w:lang w:val="fr-BE"/>
        </w:rPr>
        <w:t xml:space="preserve">90 DDD </w:t>
      </w:r>
      <w:r w:rsidRPr="00C13B7E">
        <w:rPr>
          <w:lang w:val="fr-BE"/>
        </w:rPr>
        <w:t>pour une des classes de médicaments sélection</w:t>
      </w:r>
      <w:r>
        <w:rPr>
          <w:lang w:val="fr-BE"/>
        </w:rPr>
        <w:t>n</w:t>
      </w:r>
      <w:r w:rsidRPr="00C13B7E">
        <w:rPr>
          <w:lang w:val="fr-BE"/>
        </w:rPr>
        <w:t>ées</w:t>
      </w:r>
      <w:r>
        <w:rPr>
          <w:lang w:val="fr-BE"/>
        </w:rPr>
        <w:t xml:space="preserve"> au cours des 280 jours précédant l’accouchement</w:t>
      </w:r>
    </w:p>
    <w:p w:rsidR="00CC641D" w:rsidRPr="00C13B7E" w:rsidRDefault="00CC641D" w:rsidP="00C13B7E">
      <w:pPr>
        <w:pStyle w:val="ListParagraph"/>
        <w:numPr>
          <w:ilvl w:val="0"/>
          <w:numId w:val="20"/>
        </w:numPr>
        <w:spacing w:after="0"/>
        <w:rPr>
          <w:i/>
          <w:lang w:val="fr-BE"/>
        </w:rPr>
      </w:pPr>
      <w:r w:rsidRPr="00C13B7E">
        <w:rPr>
          <w:i/>
          <w:lang w:val="fr-BE"/>
        </w:rPr>
        <w:t xml:space="preserve">% </w:t>
      </w:r>
      <w:proofErr w:type="spellStart"/>
      <w:r w:rsidRPr="00C13B7E">
        <w:rPr>
          <w:i/>
          <w:lang w:val="fr-BE"/>
        </w:rPr>
        <w:t>attest</w:t>
      </w:r>
      <w:proofErr w:type="spellEnd"/>
      <w:r w:rsidRPr="00C13B7E">
        <w:rPr>
          <w:i/>
          <w:lang w:val="fr-BE"/>
        </w:rPr>
        <w:t>. code 474526</w:t>
      </w:r>
      <w:r w:rsidRPr="00C13B7E">
        <w:rPr>
          <w:lang w:val="fr-BE"/>
        </w:rPr>
        <w:t xml:space="preserve">: </w:t>
      </w:r>
      <w:r w:rsidR="00C13B7E" w:rsidRPr="00C13B7E">
        <w:rPr>
          <w:lang w:val="fr-BE"/>
        </w:rPr>
        <w:t>quote-part des femmes qui se sont vues attester le code</w:t>
      </w:r>
      <w:r w:rsidRPr="00C13B7E">
        <w:rPr>
          <w:lang w:val="fr-BE"/>
        </w:rPr>
        <w:t xml:space="preserve"> 474526 </w:t>
      </w:r>
      <w:r w:rsidR="00C13B7E" w:rsidRPr="00C13B7E">
        <w:rPr>
          <w:lang w:val="fr-BE"/>
        </w:rPr>
        <w:t>au moment de l’accouchement</w:t>
      </w:r>
      <w:r w:rsidRPr="00C13B7E">
        <w:rPr>
          <w:lang w:val="fr-BE"/>
        </w:rPr>
        <w:t xml:space="preserve"> (</w:t>
      </w:r>
      <w:r w:rsidR="00C13B7E" w:rsidRPr="00C13B7E">
        <w:rPr>
          <w:i/>
          <w:lang w:val="fr-BE"/>
        </w:rPr>
        <w:t>Présence effective dans la salle d'accouchement à la fin du travail et au moment de la naissance et prise en charge du nouveau-né en cas de grossesse à risque et sur prescription du médecin accoucheur, du médecin spécialiste en p</w:t>
      </w:r>
      <w:r w:rsidR="00C13B7E">
        <w:rPr>
          <w:i/>
          <w:lang w:val="fr-BE"/>
        </w:rPr>
        <w:t>édiatrie, par nouveau-n</w:t>
      </w:r>
      <w:r w:rsidR="0015766F">
        <w:rPr>
          <w:i/>
          <w:lang w:val="fr-BE"/>
        </w:rPr>
        <w:t>é</w:t>
      </w:r>
      <w:r w:rsidR="00C13B7E" w:rsidRPr="00C13B7E">
        <w:rPr>
          <w:i/>
          <w:lang w:val="fr-BE"/>
        </w:rPr>
        <w:t>’</w:t>
      </w:r>
      <w:r w:rsidRPr="00C13B7E">
        <w:rPr>
          <w:lang w:val="fr-BE"/>
        </w:rPr>
        <w:t>)</w:t>
      </w:r>
      <w:r w:rsidR="00581A5F" w:rsidRPr="00C13B7E">
        <w:rPr>
          <w:lang w:val="fr-BE"/>
        </w:rPr>
        <w:t xml:space="preserve">. </w:t>
      </w:r>
      <w:r w:rsidR="00C13B7E" w:rsidRPr="00C13B7E">
        <w:rPr>
          <w:lang w:val="fr-BE"/>
        </w:rPr>
        <w:t xml:space="preserve">Etant donné que ce code doit être attesté par le gynécologue, nous retenons ce code comme un indicateur de grossesse à risque </w:t>
      </w:r>
      <w:r w:rsidR="00581A5F" w:rsidRPr="00C13B7E">
        <w:rPr>
          <w:lang w:val="fr-BE"/>
        </w:rPr>
        <w:t>‘ex post’</w:t>
      </w:r>
    </w:p>
    <w:p w:rsidR="00CC641D" w:rsidRPr="00C13B7E" w:rsidRDefault="00C13B7E" w:rsidP="00C13B7E">
      <w:pPr>
        <w:pStyle w:val="ListParagraph"/>
        <w:numPr>
          <w:ilvl w:val="0"/>
          <w:numId w:val="20"/>
        </w:numPr>
        <w:spacing w:after="0"/>
        <w:rPr>
          <w:i/>
          <w:lang w:val="fr-BE"/>
        </w:rPr>
      </w:pPr>
      <w:r w:rsidRPr="00C13B7E">
        <w:rPr>
          <w:i/>
          <w:lang w:val="fr-BE"/>
        </w:rPr>
        <w:t xml:space="preserve">Séjour moyen </w:t>
      </w:r>
      <w:r w:rsidR="00CC641D" w:rsidRPr="00C13B7E">
        <w:rPr>
          <w:i/>
          <w:lang w:val="fr-BE"/>
        </w:rPr>
        <w:t xml:space="preserve">: </w:t>
      </w:r>
      <w:r w:rsidRPr="00C13B7E">
        <w:rPr>
          <w:lang w:val="fr-BE"/>
        </w:rPr>
        <w:t xml:space="preserve">durée moyenne de séjour par maternité, tout type d’accouchement confondu (période entre la journée d’admission </w:t>
      </w:r>
      <w:r>
        <w:rPr>
          <w:lang w:val="fr-BE"/>
        </w:rPr>
        <w:t xml:space="preserve">à </w:t>
      </w:r>
      <w:r w:rsidRPr="00C13B7E">
        <w:rPr>
          <w:lang w:val="fr-BE"/>
        </w:rPr>
        <w:t xml:space="preserve">et de </w:t>
      </w:r>
      <w:r w:rsidR="00223A32">
        <w:rPr>
          <w:lang w:val="fr-BE"/>
        </w:rPr>
        <w:t xml:space="preserve">la journée de </w:t>
      </w:r>
      <w:r w:rsidRPr="00C13B7E">
        <w:rPr>
          <w:lang w:val="fr-BE"/>
        </w:rPr>
        <w:t xml:space="preserve">sortie de </w:t>
      </w:r>
      <w:r>
        <w:rPr>
          <w:lang w:val="fr-BE"/>
        </w:rPr>
        <w:t>l’hôpital)</w:t>
      </w:r>
    </w:p>
    <w:p w:rsidR="00CC641D" w:rsidRPr="00AA4B3B" w:rsidRDefault="00C13B7E" w:rsidP="00C13B7E">
      <w:pPr>
        <w:pStyle w:val="ListParagraph"/>
        <w:numPr>
          <w:ilvl w:val="0"/>
          <w:numId w:val="20"/>
        </w:numPr>
        <w:spacing w:after="0"/>
        <w:rPr>
          <w:i/>
          <w:lang w:val="fr-BE"/>
        </w:rPr>
      </w:pPr>
      <w:r w:rsidRPr="00AA4B3B">
        <w:rPr>
          <w:i/>
          <w:lang w:val="fr-BE"/>
        </w:rPr>
        <w:t>Séjour médian</w:t>
      </w:r>
      <w:r w:rsidR="00CC641D" w:rsidRPr="00AA4B3B">
        <w:rPr>
          <w:lang w:val="fr-BE"/>
        </w:rPr>
        <w:t xml:space="preserve">: </w:t>
      </w:r>
      <w:r w:rsidRPr="00AA4B3B">
        <w:rPr>
          <w:lang w:val="fr-BE"/>
        </w:rPr>
        <w:t>durée de séjour médiane de l’institution, tout type d’accouchement confondu</w:t>
      </w:r>
    </w:p>
    <w:p w:rsidR="00347D53" w:rsidRPr="00C13B7E" w:rsidRDefault="00C13B7E" w:rsidP="00C13B7E">
      <w:pPr>
        <w:pStyle w:val="ListParagraph"/>
        <w:numPr>
          <w:ilvl w:val="0"/>
          <w:numId w:val="20"/>
        </w:numPr>
        <w:spacing w:after="0"/>
        <w:rPr>
          <w:i/>
          <w:lang w:val="fr-BE"/>
        </w:rPr>
      </w:pPr>
      <w:r w:rsidRPr="00C13B7E">
        <w:rPr>
          <w:i/>
          <w:lang w:val="fr-BE"/>
        </w:rPr>
        <w:t xml:space="preserve">Séjour </w:t>
      </w:r>
      <w:proofErr w:type="spellStart"/>
      <w:r w:rsidRPr="00C13B7E">
        <w:rPr>
          <w:i/>
          <w:lang w:val="fr-BE"/>
        </w:rPr>
        <w:t>moy</w:t>
      </w:r>
      <w:proofErr w:type="spellEnd"/>
      <w:r w:rsidRPr="00C13B7E">
        <w:rPr>
          <w:i/>
          <w:lang w:val="fr-BE"/>
        </w:rPr>
        <w:t xml:space="preserve">. </w:t>
      </w:r>
      <w:proofErr w:type="spellStart"/>
      <w:r w:rsidRPr="00C13B7E">
        <w:rPr>
          <w:i/>
          <w:lang w:val="fr-BE"/>
        </w:rPr>
        <w:t>acc</w:t>
      </w:r>
      <w:proofErr w:type="spellEnd"/>
      <w:r w:rsidRPr="00C13B7E">
        <w:rPr>
          <w:i/>
          <w:lang w:val="fr-BE"/>
        </w:rPr>
        <w:t>. voie basse</w:t>
      </w:r>
      <w:r w:rsidR="00347D53" w:rsidRPr="00C13B7E">
        <w:rPr>
          <w:i/>
          <w:lang w:val="fr-BE"/>
        </w:rPr>
        <w:t xml:space="preserve">: </w:t>
      </w:r>
      <w:r w:rsidRPr="00C13B7E">
        <w:rPr>
          <w:lang w:val="fr-BE"/>
        </w:rPr>
        <w:t>durée de séjour moyenne pour les accouchements par voie vaginale</w:t>
      </w:r>
    </w:p>
    <w:p w:rsidR="00347D53" w:rsidRPr="00C13B7E" w:rsidRDefault="00C13B7E" w:rsidP="00C13B7E">
      <w:pPr>
        <w:pStyle w:val="ListParagraph"/>
        <w:numPr>
          <w:ilvl w:val="0"/>
          <w:numId w:val="20"/>
        </w:numPr>
        <w:spacing w:after="0"/>
        <w:rPr>
          <w:i/>
          <w:lang w:val="fr-BE"/>
        </w:rPr>
      </w:pPr>
      <w:r w:rsidRPr="00C13B7E">
        <w:rPr>
          <w:i/>
          <w:lang w:val="fr-BE"/>
        </w:rPr>
        <w:t xml:space="preserve">Séjour </w:t>
      </w:r>
      <w:proofErr w:type="spellStart"/>
      <w:r w:rsidRPr="00C13B7E">
        <w:rPr>
          <w:i/>
          <w:lang w:val="fr-BE"/>
        </w:rPr>
        <w:t>moy</w:t>
      </w:r>
      <w:proofErr w:type="spellEnd"/>
      <w:r w:rsidRPr="00C13B7E">
        <w:rPr>
          <w:i/>
          <w:lang w:val="fr-BE"/>
        </w:rPr>
        <w:t xml:space="preserve">. </w:t>
      </w:r>
      <w:proofErr w:type="spellStart"/>
      <w:r w:rsidRPr="00C13B7E">
        <w:rPr>
          <w:i/>
          <w:lang w:val="fr-BE"/>
        </w:rPr>
        <w:t>acc.césar</w:t>
      </w:r>
      <w:proofErr w:type="spellEnd"/>
      <w:r w:rsidRPr="00C13B7E">
        <w:rPr>
          <w:i/>
          <w:lang w:val="fr-BE"/>
        </w:rPr>
        <w:t>.</w:t>
      </w:r>
      <w:r w:rsidR="00347D53" w:rsidRPr="00C13B7E">
        <w:rPr>
          <w:i/>
          <w:lang w:val="fr-BE"/>
        </w:rPr>
        <w:t xml:space="preserve">: </w:t>
      </w:r>
      <w:r w:rsidRPr="00C13B7E">
        <w:rPr>
          <w:lang w:val="fr-BE"/>
        </w:rPr>
        <w:t xml:space="preserve">durée de séjour moyenne pour les accouchements par </w:t>
      </w:r>
      <w:r>
        <w:rPr>
          <w:lang w:val="fr-BE"/>
        </w:rPr>
        <w:t>césarienne</w:t>
      </w:r>
    </w:p>
    <w:p w:rsidR="00347D53" w:rsidRPr="00AB151A" w:rsidRDefault="00347D53" w:rsidP="00347D53">
      <w:pPr>
        <w:spacing w:after="0"/>
        <w:ind w:left="709" w:hanging="709"/>
        <w:rPr>
          <w:lang w:val="fr-BE"/>
        </w:rPr>
      </w:pPr>
      <w:r w:rsidRPr="00AB151A">
        <w:rPr>
          <w:lang w:val="fr-BE"/>
        </w:rPr>
        <w:lastRenderedPageBreak/>
        <w:t>2.5.</w:t>
      </w:r>
      <w:r w:rsidRPr="00AB151A">
        <w:rPr>
          <w:lang w:val="fr-BE"/>
        </w:rPr>
        <w:tab/>
      </w:r>
      <w:r w:rsidR="00AB151A" w:rsidRPr="00AB151A">
        <w:rPr>
          <w:u w:val="single"/>
          <w:lang w:val="fr-BE"/>
        </w:rPr>
        <w:t>Annexe 5 - Accouchements 2011 par institution - accouchement après grossesse normale - caractéristiques de la patientèle</w:t>
      </w:r>
    </w:p>
    <w:p w:rsidR="00CC641D" w:rsidRPr="00AB151A" w:rsidRDefault="00CC641D" w:rsidP="000E2BDA">
      <w:pPr>
        <w:spacing w:after="0"/>
        <w:rPr>
          <w:lang w:val="fr-BE"/>
        </w:rPr>
      </w:pPr>
    </w:p>
    <w:p w:rsidR="00347D53" w:rsidRPr="00AB151A" w:rsidRDefault="00AB151A" w:rsidP="000E2BDA">
      <w:pPr>
        <w:spacing w:after="0"/>
        <w:rPr>
          <w:lang w:val="fr-BE"/>
        </w:rPr>
      </w:pPr>
      <w:r w:rsidRPr="00AB151A">
        <w:rPr>
          <w:lang w:val="fr-BE"/>
        </w:rPr>
        <w:t>L’annexe 5 donne la même information que l’annexe 4, mais uniquement pour les patientes pour lesquelles leur grossesse a été cataloguée comme ‘normale’, à savoir les patientes</w:t>
      </w:r>
      <w:r>
        <w:rPr>
          <w:lang w:val="fr-BE"/>
        </w:rPr>
        <w:t xml:space="preserve"> </w:t>
      </w:r>
      <w:r w:rsidR="00347D53" w:rsidRPr="00AB151A">
        <w:rPr>
          <w:lang w:val="fr-BE"/>
        </w:rPr>
        <w:t>:</w:t>
      </w:r>
    </w:p>
    <w:p w:rsidR="00347D53" w:rsidRPr="00AB151A" w:rsidRDefault="00AB151A" w:rsidP="00AB151A">
      <w:pPr>
        <w:pStyle w:val="ListParagraph"/>
        <w:numPr>
          <w:ilvl w:val="0"/>
          <w:numId w:val="21"/>
        </w:numPr>
        <w:spacing w:after="0"/>
        <w:rPr>
          <w:lang w:val="fr-BE"/>
        </w:rPr>
      </w:pPr>
      <w:r w:rsidRPr="00AB151A">
        <w:rPr>
          <w:lang w:val="fr-BE"/>
        </w:rPr>
        <w:t>Ne bénéficiant pas de l’intervention majorée</w:t>
      </w:r>
    </w:p>
    <w:p w:rsidR="00347D53" w:rsidRPr="00AB151A" w:rsidRDefault="00AB151A" w:rsidP="00347D53">
      <w:pPr>
        <w:pStyle w:val="ListParagraph"/>
        <w:numPr>
          <w:ilvl w:val="0"/>
          <w:numId w:val="21"/>
        </w:numPr>
        <w:spacing w:after="0"/>
        <w:rPr>
          <w:lang w:val="fr-BE"/>
        </w:rPr>
      </w:pPr>
      <w:r>
        <w:rPr>
          <w:lang w:val="fr-BE"/>
        </w:rPr>
        <w:t>Etan</w:t>
      </w:r>
      <w:r w:rsidRPr="00AB151A">
        <w:rPr>
          <w:lang w:val="fr-BE"/>
        </w:rPr>
        <w:t>t âgée</w:t>
      </w:r>
      <w:r>
        <w:rPr>
          <w:lang w:val="fr-BE"/>
        </w:rPr>
        <w:t>s</w:t>
      </w:r>
      <w:r w:rsidRPr="00AB151A">
        <w:rPr>
          <w:lang w:val="fr-BE"/>
        </w:rPr>
        <w:t xml:space="preserve"> de plus </w:t>
      </w:r>
      <w:r>
        <w:rPr>
          <w:lang w:val="fr-BE"/>
        </w:rPr>
        <w:t xml:space="preserve">de </w:t>
      </w:r>
      <w:r w:rsidRPr="00AB151A">
        <w:rPr>
          <w:lang w:val="fr-BE"/>
        </w:rPr>
        <w:t xml:space="preserve">16 ans </w:t>
      </w:r>
      <w:r>
        <w:rPr>
          <w:lang w:val="fr-BE"/>
        </w:rPr>
        <w:t>ou</w:t>
      </w:r>
      <w:r w:rsidRPr="00AB151A">
        <w:rPr>
          <w:lang w:val="fr-BE"/>
        </w:rPr>
        <w:t xml:space="preserve"> plus jeune que 40</w:t>
      </w:r>
    </w:p>
    <w:p w:rsidR="00347D53" w:rsidRPr="00AB151A" w:rsidRDefault="00AB151A" w:rsidP="00347D53">
      <w:pPr>
        <w:pStyle w:val="ListParagraph"/>
        <w:numPr>
          <w:ilvl w:val="0"/>
          <w:numId w:val="21"/>
        </w:numPr>
        <w:spacing w:after="0"/>
        <w:rPr>
          <w:lang w:val="fr-BE"/>
        </w:rPr>
      </w:pPr>
      <w:r>
        <w:rPr>
          <w:lang w:val="fr-BE"/>
        </w:rPr>
        <w:t>S’étant vues prescrire moins de 90 DDD (ou pas du tout) de médicaments contre des affections chroniques au cours des 280 jours précédant l’accouchement.</w:t>
      </w:r>
    </w:p>
    <w:p w:rsidR="00347D53" w:rsidRPr="00AB151A" w:rsidRDefault="00347D53" w:rsidP="00347D53">
      <w:pPr>
        <w:spacing w:after="0"/>
        <w:rPr>
          <w:lang w:val="fr-BE"/>
        </w:rPr>
      </w:pPr>
    </w:p>
    <w:p w:rsidR="00347D53" w:rsidRPr="00AB151A" w:rsidRDefault="00347D53" w:rsidP="00AB151A">
      <w:pPr>
        <w:spacing w:after="0"/>
        <w:ind w:left="709" w:hanging="709"/>
        <w:rPr>
          <w:u w:val="single"/>
          <w:lang w:val="fr-BE"/>
        </w:rPr>
      </w:pPr>
      <w:r w:rsidRPr="00AB151A">
        <w:rPr>
          <w:lang w:val="fr-BE"/>
        </w:rPr>
        <w:t>2.6.</w:t>
      </w:r>
      <w:r w:rsidRPr="00AB151A">
        <w:rPr>
          <w:lang w:val="fr-BE"/>
        </w:rPr>
        <w:tab/>
      </w:r>
      <w:r w:rsidR="00AB151A" w:rsidRPr="00AB151A">
        <w:rPr>
          <w:u w:val="single"/>
          <w:lang w:val="fr-BE"/>
        </w:rPr>
        <w:t>Annexe 6 - Accouchements 2011 par institution - grossesse à risque - caractéristiques de la patientèle</w:t>
      </w:r>
    </w:p>
    <w:p w:rsidR="00347D53" w:rsidRPr="00AB151A" w:rsidRDefault="00347D53" w:rsidP="000E2BDA">
      <w:pPr>
        <w:spacing w:after="0"/>
        <w:rPr>
          <w:lang w:val="fr-BE"/>
        </w:rPr>
      </w:pPr>
    </w:p>
    <w:p w:rsidR="00347D53" w:rsidRPr="00AB151A" w:rsidRDefault="00AB151A" w:rsidP="00347D53">
      <w:pPr>
        <w:spacing w:after="0"/>
        <w:rPr>
          <w:lang w:val="fr-BE"/>
        </w:rPr>
      </w:pPr>
      <w:r w:rsidRPr="00AB151A">
        <w:rPr>
          <w:lang w:val="fr-BE"/>
        </w:rPr>
        <w:t>L’annexe 6 donne la même information que l’annexe 4, mais uniquement pour les patientes pour lesquelles leur grossesse a été cataloguée comme ‘</w:t>
      </w:r>
      <w:r>
        <w:rPr>
          <w:lang w:val="fr-BE"/>
        </w:rPr>
        <w:t>à risque</w:t>
      </w:r>
      <w:r w:rsidRPr="00AB151A">
        <w:rPr>
          <w:lang w:val="fr-BE"/>
        </w:rPr>
        <w:t>’, à savoir les patientes</w:t>
      </w:r>
      <w:r w:rsidR="0015766F">
        <w:rPr>
          <w:lang w:val="fr-BE"/>
        </w:rPr>
        <w:t xml:space="preserve"> </w:t>
      </w:r>
      <w:r w:rsidR="00347D53" w:rsidRPr="00AB151A">
        <w:rPr>
          <w:lang w:val="fr-BE"/>
        </w:rPr>
        <w:t>:</w:t>
      </w:r>
    </w:p>
    <w:p w:rsidR="00967EB3" w:rsidRPr="00AB151A" w:rsidRDefault="00967EB3" w:rsidP="00347D53">
      <w:pPr>
        <w:spacing w:after="0"/>
        <w:rPr>
          <w:lang w:val="fr-BE"/>
        </w:rPr>
      </w:pPr>
    </w:p>
    <w:p w:rsidR="00AB151A" w:rsidRPr="00AB151A" w:rsidRDefault="00AB151A" w:rsidP="00AB151A">
      <w:pPr>
        <w:pStyle w:val="ListParagraph"/>
        <w:numPr>
          <w:ilvl w:val="0"/>
          <w:numId w:val="21"/>
        </w:numPr>
        <w:spacing w:after="0"/>
        <w:rPr>
          <w:lang w:val="fr-BE"/>
        </w:rPr>
      </w:pPr>
      <w:r>
        <w:rPr>
          <w:lang w:val="fr-BE"/>
        </w:rPr>
        <w:t>B</w:t>
      </w:r>
      <w:r w:rsidRPr="00AB151A">
        <w:rPr>
          <w:lang w:val="fr-BE"/>
        </w:rPr>
        <w:t>énéficiant de l’intervention majorée</w:t>
      </w:r>
    </w:p>
    <w:p w:rsidR="00AB151A" w:rsidRPr="00AB151A" w:rsidRDefault="00AB151A" w:rsidP="00AB151A">
      <w:pPr>
        <w:pStyle w:val="ListParagraph"/>
        <w:numPr>
          <w:ilvl w:val="0"/>
          <w:numId w:val="21"/>
        </w:numPr>
        <w:spacing w:after="0"/>
        <w:rPr>
          <w:lang w:val="fr-BE"/>
        </w:rPr>
      </w:pPr>
      <w:r w:rsidRPr="00AB151A">
        <w:rPr>
          <w:lang w:val="fr-BE"/>
        </w:rPr>
        <w:t>Et</w:t>
      </w:r>
      <w:r>
        <w:rPr>
          <w:lang w:val="fr-BE"/>
        </w:rPr>
        <w:t>/ou étan</w:t>
      </w:r>
      <w:r w:rsidRPr="00AB151A">
        <w:rPr>
          <w:lang w:val="fr-BE"/>
        </w:rPr>
        <w:t>t âgée</w:t>
      </w:r>
      <w:r>
        <w:rPr>
          <w:lang w:val="fr-BE"/>
        </w:rPr>
        <w:t>s</w:t>
      </w:r>
      <w:r w:rsidRPr="00AB151A">
        <w:rPr>
          <w:lang w:val="fr-BE"/>
        </w:rPr>
        <w:t xml:space="preserve"> de </w:t>
      </w:r>
      <w:r>
        <w:rPr>
          <w:lang w:val="fr-BE"/>
        </w:rPr>
        <w:t>moins de</w:t>
      </w:r>
      <w:r w:rsidRPr="00AB151A">
        <w:rPr>
          <w:lang w:val="fr-BE"/>
        </w:rPr>
        <w:t xml:space="preserve"> 16 ans </w:t>
      </w:r>
      <w:r>
        <w:rPr>
          <w:lang w:val="fr-BE"/>
        </w:rPr>
        <w:t>ou</w:t>
      </w:r>
      <w:r w:rsidRPr="00AB151A">
        <w:rPr>
          <w:lang w:val="fr-BE"/>
        </w:rPr>
        <w:t xml:space="preserve"> plus </w:t>
      </w:r>
      <w:r>
        <w:rPr>
          <w:lang w:val="fr-BE"/>
        </w:rPr>
        <w:t>vieille</w:t>
      </w:r>
      <w:r w:rsidRPr="00AB151A">
        <w:rPr>
          <w:lang w:val="fr-BE"/>
        </w:rPr>
        <w:t xml:space="preserve"> que 40</w:t>
      </w:r>
    </w:p>
    <w:p w:rsidR="00AB151A" w:rsidRPr="00AB151A" w:rsidRDefault="00AB151A" w:rsidP="00AB151A">
      <w:pPr>
        <w:pStyle w:val="ListParagraph"/>
        <w:numPr>
          <w:ilvl w:val="0"/>
          <w:numId w:val="21"/>
        </w:numPr>
        <w:spacing w:after="0"/>
        <w:rPr>
          <w:lang w:val="fr-BE"/>
        </w:rPr>
      </w:pPr>
      <w:r>
        <w:rPr>
          <w:lang w:val="fr-BE"/>
        </w:rPr>
        <w:t>S’étant vues prescrire plus de 90 DDD de médicaments contre des affections chroniques au cours des 280 jours précédant l’accouchement.</w:t>
      </w:r>
    </w:p>
    <w:p w:rsidR="00347D53" w:rsidRPr="00AB151A" w:rsidRDefault="00347D53" w:rsidP="000E2BDA">
      <w:pPr>
        <w:spacing w:after="0"/>
        <w:rPr>
          <w:lang w:val="fr-BE"/>
        </w:rPr>
      </w:pPr>
    </w:p>
    <w:p w:rsidR="00967EB3" w:rsidRPr="00AB151A" w:rsidRDefault="00967EB3" w:rsidP="00967EB3">
      <w:pPr>
        <w:spacing w:after="0"/>
        <w:ind w:left="709" w:hanging="709"/>
        <w:rPr>
          <w:u w:val="single"/>
          <w:lang w:val="fr-BE"/>
        </w:rPr>
      </w:pPr>
      <w:r w:rsidRPr="00AB151A">
        <w:rPr>
          <w:lang w:val="fr-BE"/>
        </w:rPr>
        <w:t>2.7.</w:t>
      </w:r>
      <w:r w:rsidRPr="00AB151A">
        <w:rPr>
          <w:lang w:val="fr-BE"/>
        </w:rPr>
        <w:tab/>
      </w:r>
      <w:r w:rsidR="00AB151A" w:rsidRPr="00AB151A">
        <w:rPr>
          <w:u w:val="single"/>
          <w:lang w:val="fr-BE"/>
        </w:rPr>
        <w:t>Annexe 7 - Résultats 2011 des accouchements par institution - classement en fonction de la proportion de césariennes pour les patientes définies comme patientes avec grossesse 'normale'</w:t>
      </w:r>
    </w:p>
    <w:p w:rsidR="00967EB3" w:rsidRPr="00AB151A" w:rsidRDefault="00967EB3" w:rsidP="00967EB3">
      <w:pPr>
        <w:spacing w:after="0"/>
        <w:rPr>
          <w:lang w:val="fr-BE"/>
        </w:rPr>
      </w:pPr>
    </w:p>
    <w:p w:rsidR="00967EB3" w:rsidRPr="004A22BF" w:rsidRDefault="004A22BF" w:rsidP="00967EB3">
      <w:pPr>
        <w:spacing w:after="0"/>
        <w:rPr>
          <w:lang w:val="fr-BE"/>
        </w:rPr>
      </w:pPr>
      <w:r w:rsidRPr="004A22BF">
        <w:rPr>
          <w:lang w:val="fr-BE"/>
        </w:rPr>
        <w:t>L’annexe 7 classe les maternités sur base du taux de césariennes attestées après une grossesse normale et compare au sein des maternités les profils d’accouchements après une grossesse normale, après une grossesse à r</w:t>
      </w:r>
      <w:r w:rsidR="0015766F">
        <w:rPr>
          <w:lang w:val="fr-BE"/>
        </w:rPr>
        <w:t>is</w:t>
      </w:r>
      <w:r w:rsidRPr="004A22BF">
        <w:rPr>
          <w:lang w:val="fr-BE"/>
        </w:rPr>
        <w:t>que</w:t>
      </w:r>
      <w:r>
        <w:rPr>
          <w:lang w:val="fr-BE"/>
        </w:rPr>
        <w:t xml:space="preserve"> et le total des accouchements</w:t>
      </w:r>
      <w:r w:rsidR="00967EB3" w:rsidRPr="004A22BF">
        <w:rPr>
          <w:lang w:val="fr-BE"/>
        </w:rPr>
        <w:t>.</w:t>
      </w:r>
    </w:p>
    <w:p w:rsidR="00967EB3" w:rsidRPr="004A22BF" w:rsidRDefault="00967EB3" w:rsidP="00967EB3">
      <w:pPr>
        <w:spacing w:after="0"/>
        <w:rPr>
          <w:lang w:val="fr-BE"/>
        </w:rPr>
      </w:pPr>
    </w:p>
    <w:p w:rsidR="00967EB3" w:rsidRPr="0081681C" w:rsidRDefault="004A22BF" w:rsidP="00967EB3">
      <w:pPr>
        <w:spacing w:after="0"/>
        <w:rPr>
          <w:lang w:val="fr-BE"/>
        </w:rPr>
      </w:pPr>
      <w:r w:rsidRPr="0081681C">
        <w:rPr>
          <w:lang w:val="fr-BE"/>
        </w:rPr>
        <w:t xml:space="preserve">Les six dernières colonnes présentent </w:t>
      </w:r>
      <w:r w:rsidR="0081681C" w:rsidRPr="0081681C">
        <w:rPr>
          <w:lang w:val="fr-BE"/>
        </w:rPr>
        <w:t xml:space="preserve">une série d’indicateurs comparant </w:t>
      </w:r>
      <w:r w:rsidR="0081681C">
        <w:rPr>
          <w:lang w:val="fr-BE"/>
        </w:rPr>
        <w:t xml:space="preserve">au sein d’une même maternité </w:t>
      </w:r>
      <w:r w:rsidR="0081681C" w:rsidRPr="0081681C">
        <w:rPr>
          <w:lang w:val="fr-BE"/>
        </w:rPr>
        <w:t>les caractéristiques des patientes avec grossesse à ri</w:t>
      </w:r>
      <w:r w:rsidR="0081681C">
        <w:rPr>
          <w:lang w:val="fr-BE"/>
        </w:rPr>
        <w:t>s</w:t>
      </w:r>
      <w:r w:rsidR="0081681C" w:rsidRPr="0081681C">
        <w:rPr>
          <w:lang w:val="fr-BE"/>
        </w:rPr>
        <w:t>que avec celles des patientes avec grossesse normale</w:t>
      </w:r>
      <w:r w:rsidR="00967EB3" w:rsidRPr="0081681C">
        <w:rPr>
          <w:lang w:val="fr-BE"/>
        </w:rPr>
        <w:t>:</w:t>
      </w:r>
    </w:p>
    <w:p w:rsidR="00967EB3" w:rsidRPr="00C92706" w:rsidRDefault="0081681C" w:rsidP="007515C3">
      <w:pPr>
        <w:pStyle w:val="ListParagraph"/>
        <w:numPr>
          <w:ilvl w:val="0"/>
          <w:numId w:val="22"/>
        </w:numPr>
        <w:spacing w:after="0"/>
        <w:rPr>
          <w:lang w:val="fr-BE"/>
        </w:rPr>
      </w:pPr>
      <w:r w:rsidRPr="0081681C">
        <w:rPr>
          <w:i/>
          <w:lang w:val="fr-BE"/>
        </w:rPr>
        <w:t xml:space="preserve">Ratio césarien. grossesse à risque vs. </w:t>
      </w:r>
      <w:proofErr w:type="spellStart"/>
      <w:r w:rsidRPr="0081681C">
        <w:rPr>
          <w:i/>
          <w:lang w:val="fr-BE"/>
        </w:rPr>
        <w:t>gross</w:t>
      </w:r>
      <w:proofErr w:type="spellEnd"/>
      <w:r w:rsidRPr="0081681C">
        <w:rPr>
          <w:i/>
          <w:lang w:val="fr-BE"/>
        </w:rPr>
        <w:t>. normales</w:t>
      </w:r>
      <w:r w:rsidR="00967EB3" w:rsidRPr="0081681C">
        <w:rPr>
          <w:i/>
          <w:lang w:val="fr-BE"/>
        </w:rPr>
        <w:t>.:</w:t>
      </w:r>
      <w:r w:rsidR="00967EB3" w:rsidRPr="0081681C">
        <w:rPr>
          <w:lang w:val="fr-BE"/>
        </w:rPr>
        <w:t xml:space="preserve"> </w:t>
      </w:r>
      <w:r w:rsidRPr="0081681C">
        <w:rPr>
          <w:lang w:val="fr-BE"/>
        </w:rPr>
        <w:t xml:space="preserve">cet indicateur compare le taux de césariennes auprès de patientes caractérisées par une grossesse à risque par rapport au taux de césariennes après une grossesse normale. </w:t>
      </w:r>
      <w:r w:rsidRPr="007515C3">
        <w:rPr>
          <w:lang w:val="fr-BE"/>
        </w:rPr>
        <w:t>Ainsi (première ligne du tableau</w:t>
      </w:r>
      <w:r w:rsidR="007515C3" w:rsidRPr="007515C3">
        <w:rPr>
          <w:lang w:val="fr-BE"/>
        </w:rPr>
        <w:t>) on constate qu’à St-Vincent Ste-Elisabeth Liège les patientes avec grossesse à risque ont un taux de césariennes 8% supérieur à celles avec grossesse normale</w:t>
      </w:r>
    </w:p>
    <w:p w:rsidR="00967EB3" w:rsidRPr="0060468D" w:rsidRDefault="0060468D" w:rsidP="0060468D">
      <w:pPr>
        <w:pStyle w:val="ListParagraph"/>
        <w:numPr>
          <w:ilvl w:val="0"/>
          <w:numId w:val="22"/>
        </w:numPr>
        <w:spacing w:after="0"/>
        <w:rPr>
          <w:lang w:val="fr-BE"/>
        </w:rPr>
      </w:pPr>
      <w:r w:rsidRPr="0060468D">
        <w:rPr>
          <w:i/>
          <w:lang w:val="fr-BE"/>
        </w:rPr>
        <w:t xml:space="preserve">Quote-part </w:t>
      </w:r>
      <w:proofErr w:type="spellStart"/>
      <w:r w:rsidRPr="0060468D">
        <w:rPr>
          <w:i/>
          <w:lang w:val="fr-BE"/>
        </w:rPr>
        <w:t>nbe</w:t>
      </w:r>
      <w:proofErr w:type="spellEnd"/>
      <w:r w:rsidRPr="0060468D">
        <w:rPr>
          <w:i/>
          <w:lang w:val="fr-BE"/>
        </w:rPr>
        <w:t xml:space="preserve"> </w:t>
      </w:r>
      <w:proofErr w:type="spellStart"/>
      <w:r w:rsidRPr="0060468D">
        <w:rPr>
          <w:i/>
          <w:lang w:val="fr-BE"/>
        </w:rPr>
        <w:t>gross</w:t>
      </w:r>
      <w:proofErr w:type="spellEnd"/>
      <w:r w:rsidRPr="0060468D">
        <w:rPr>
          <w:i/>
          <w:lang w:val="fr-BE"/>
        </w:rPr>
        <w:t xml:space="preserve">. à risque dans le total des </w:t>
      </w:r>
      <w:proofErr w:type="spellStart"/>
      <w:r w:rsidRPr="0060468D">
        <w:rPr>
          <w:i/>
          <w:lang w:val="fr-BE"/>
        </w:rPr>
        <w:t>accouch</w:t>
      </w:r>
      <w:proofErr w:type="spellEnd"/>
      <w:r w:rsidRPr="0060468D">
        <w:rPr>
          <w:i/>
          <w:lang w:val="fr-BE"/>
        </w:rPr>
        <w:t>.</w:t>
      </w:r>
      <w:r w:rsidR="000444BB" w:rsidRPr="0060468D">
        <w:rPr>
          <w:i/>
          <w:lang w:val="fr-BE"/>
        </w:rPr>
        <w:t>:</w:t>
      </w:r>
      <w:r w:rsidR="000444BB" w:rsidRPr="0060468D">
        <w:rPr>
          <w:lang w:val="fr-BE"/>
        </w:rPr>
        <w:t xml:space="preserve"> </w:t>
      </w:r>
      <w:r w:rsidRPr="0060468D">
        <w:rPr>
          <w:lang w:val="fr-BE"/>
        </w:rPr>
        <w:t>cette colonne reprend par maternité la quote-part des accouchements suivant une grossesse à risque</w:t>
      </w:r>
      <w:r w:rsidR="000444BB" w:rsidRPr="0060468D">
        <w:rPr>
          <w:lang w:val="fr-BE"/>
        </w:rPr>
        <w:t xml:space="preserve">. </w:t>
      </w:r>
      <w:r w:rsidRPr="0060468D">
        <w:rPr>
          <w:lang w:val="fr-BE"/>
        </w:rPr>
        <w:t>Ainsi (première ligne du tableau) on constate qu’à St-Vincent Ste-Elisabeth Liège 30% des accouchements fut précédé par une grossesse à risques</w:t>
      </w:r>
      <w:r w:rsidR="000444BB" w:rsidRPr="0060468D">
        <w:rPr>
          <w:lang w:val="fr-BE"/>
        </w:rPr>
        <w:t>.</w:t>
      </w:r>
    </w:p>
    <w:p w:rsidR="000444BB" w:rsidRPr="00DB310F" w:rsidRDefault="007515C3" w:rsidP="007515C3">
      <w:pPr>
        <w:pStyle w:val="ListParagraph"/>
        <w:numPr>
          <w:ilvl w:val="0"/>
          <w:numId w:val="22"/>
        </w:numPr>
        <w:spacing w:after="0"/>
        <w:rPr>
          <w:lang w:val="fr-BE"/>
        </w:rPr>
      </w:pPr>
      <w:r w:rsidRPr="007515C3">
        <w:rPr>
          <w:i/>
          <w:lang w:val="fr-BE"/>
        </w:rPr>
        <w:lastRenderedPageBreak/>
        <w:t xml:space="preserve">Ratio attestation 474526 lors de </w:t>
      </w:r>
      <w:proofErr w:type="spellStart"/>
      <w:r w:rsidRPr="007515C3">
        <w:rPr>
          <w:i/>
          <w:lang w:val="fr-BE"/>
        </w:rPr>
        <w:t>gross</w:t>
      </w:r>
      <w:proofErr w:type="spellEnd"/>
      <w:r w:rsidRPr="007515C3">
        <w:rPr>
          <w:i/>
          <w:lang w:val="fr-BE"/>
        </w:rPr>
        <w:t xml:space="preserve">. à risque vs. normale </w:t>
      </w:r>
      <w:r w:rsidR="000444BB" w:rsidRPr="007515C3">
        <w:rPr>
          <w:lang w:val="fr-BE"/>
        </w:rPr>
        <w:t>.</w:t>
      </w:r>
      <w:r w:rsidRPr="007515C3">
        <w:rPr>
          <w:lang w:val="fr-BE"/>
        </w:rPr>
        <w:t xml:space="preserve">: avec cet indicateur, le rapport entre le taux d’attestation du code </w:t>
      </w:r>
      <w:r w:rsidR="000444BB" w:rsidRPr="007515C3">
        <w:rPr>
          <w:lang w:val="fr-BE"/>
        </w:rPr>
        <w:t xml:space="preserve">474526 </w:t>
      </w:r>
      <w:r w:rsidRPr="007515C3">
        <w:rPr>
          <w:lang w:val="fr-BE"/>
        </w:rPr>
        <w:t xml:space="preserve">auprès de grossesses à risque vis-à-vis des grossesses normale est observé. </w:t>
      </w:r>
      <w:r w:rsidRPr="00DB310F">
        <w:rPr>
          <w:lang w:val="fr-BE"/>
        </w:rPr>
        <w:t>Ainsi (première ligne du tableau) on constate qu’à St-Vincent Ste-Elisabeth Liège</w:t>
      </w:r>
      <w:r w:rsidR="00DB310F" w:rsidRPr="00DB310F">
        <w:rPr>
          <w:lang w:val="fr-BE"/>
        </w:rPr>
        <w:t xml:space="preserve"> le taux d’attestation du code </w:t>
      </w:r>
      <w:r w:rsidR="00DB310F">
        <w:rPr>
          <w:lang w:val="fr-BE"/>
        </w:rPr>
        <w:t>474526 chez</w:t>
      </w:r>
      <w:r w:rsidRPr="00DB310F">
        <w:rPr>
          <w:lang w:val="fr-BE"/>
        </w:rPr>
        <w:t xml:space="preserve"> les patientes avec grossesse à risque </w:t>
      </w:r>
      <w:r w:rsidR="00DB310F">
        <w:rPr>
          <w:lang w:val="fr-BE"/>
        </w:rPr>
        <w:t xml:space="preserve">est de </w:t>
      </w:r>
      <w:r w:rsidR="00DB310F" w:rsidRPr="00DB310F">
        <w:rPr>
          <w:lang w:val="fr-BE"/>
        </w:rPr>
        <w:t xml:space="preserve">10% </w:t>
      </w:r>
      <w:r w:rsidR="00DB310F">
        <w:rPr>
          <w:lang w:val="fr-BE"/>
        </w:rPr>
        <w:t>supérieur à celui observé auprès des patientes avec grossesse normale</w:t>
      </w:r>
    </w:p>
    <w:p w:rsidR="000444BB" w:rsidRPr="00757A4B" w:rsidRDefault="0060468D" w:rsidP="0060468D">
      <w:pPr>
        <w:pStyle w:val="ListParagraph"/>
        <w:numPr>
          <w:ilvl w:val="0"/>
          <w:numId w:val="22"/>
        </w:numPr>
        <w:spacing w:after="0"/>
        <w:rPr>
          <w:i/>
          <w:lang w:val="fr-BE"/>
        </w:rPr>
      </w:pPr>
      <w:r w:rsidRPr="0060468D">
        <w:rPr>
          <w:i/>
          <w:lang w:val="fr-BE"/>
        </w:rPr>
        <w:t xml:space="preserve">Ratio âge moyen </w:t>
      </w:r>
      <w:proofErr w:type="spellStart"/>
      <w:r w:rsidRPr="0060468D">
        <w:rPr>
          <w:i/>
          <w:lang w:val="fr-BE"/>
        </w:rPr>
        <w:t>gross</w:t>
      </w:r>
      <w:proofErr w:type="spellEnd"/>
      <w:r w:rsidRPr="0060468D">
        <w:rPr>
          <w:i/>
          <w:lang w:val="fr-BE"/>
        </w:rPr>
        <w:t xml:space="preserve">. à risque vs. </w:t>
      </w:r>
      <w:proofErr w:type="spellStart"/>
      <w:r w:rsidRPr="0060468D">
        <w:rPr>
          <w:i/>
          <w:lang w:val="fr-BE"/>
        </w:rPr>
        <w:t>gross</w:t>
      </w:r>
      <w:proofErr w:type="spellEnd"/>
      <w:r w:rsidRPr="0060468D">
        <w:rPr>
          <w:i/>
          <w:lang w:val="fr-BE"/>
        </w:rPr>
        <w:t>. normale</w:t>
      </w:r>
      <w:r w:rsidR="000444BB" w:rsidRPr="0060468D">
        <w:rPr>
          <w:i/>
          <w:lang w:val="fr-BE"/>
        </w:rPr>
        <w:t xml:space="preserve">.: </w:t>
      </w:r>
      <w:r w:rsidRPr="0060468D">
        <w:rPr>
          <w:lang w:val="fr-BE"/>
        </w:rPr>
        <w:t>c</w:t>
      </w:r>
      <w:r w:rsidR="000444BB" w:rsidRPr="0060468D">
        <w:rPr>
          <w:lang w:val="fr-BE"/>
        </w:rPr>
        <w:t>e</w:t>
      </w:r>
      <w:r w:rsidRPr="0060468D">
        <w:rPr>
          <w:lang w:val="fr-BE"/>
        </w:rPr>
        <w:t>t indicateur présente le rapport entre l’âge moyen à l’accou</w:t>
      </w:r>
      <w:r>
        <w:rPr>
          <w:lang w:val="fr-BE"/>
        </w:rPr>
        <w:t>chement après une grossesse à r</w:t>
      </w:r>
      <w:r w:rsidRPr="0060468D">
        <w:rPr>
          <w:lang w:val="fr-BE"/>
        </w:rPr>
        <w:t>i</w:t>
      </w:r>
      <w:r>
        <w:rPr>
          <w:lang w:val="fr-BE"/>
        </w:rPr>
        <w:t>s</w:t>
      </w:r>
      <w:r w:rsidRPr="0060468D">
        <w:rPr>
          <w:lang w:val="fr-BE"/>
        </w:rPr>
        <w:t>que</w:t>
      </w:r>
      <w:r>
        <w:rPr>
          <w:lang w:val="fr-BE"/>
        </w:rPr>
        <w:t xml:space="preserve"> et l’âge moyen à l’accouchement après une grossesse normale. </w:t>
      </w:r>
      <w:r w:rsidRPr="00757A4B">
        <w:rPr>
          <w:lang w:val="fr-BE"/>
        </w:rPr>
        <w:t xml:space="preserve">Ainsi (première ligne du tableau) on constate qu’à St-Vincent Ste-Elisabeth </w:t>
      </w:r>
      <w:r w:rsidR="00757A4B" w:rsidRPr="00757A4B">
        <w:rPr>
          <w:lang w:val="fr-BE"/>
        </w:rPr>
        <w:t>l’âge moyen d’</w:t>
      </w:r>
      <w:r w:rsidR="00757A4B">
        <w:rPr>
          <w:lang w:val="fr-BE"/>
        </w:rPr>
        <w:t xml:space="preserve">une femme </w:t>
      </w:r>
      <w:r w:rsidR="00757A4B" w:rsidRPr="00757A4B">
        <w:rPr>
          <w:lang w:val="fr-BE"/>
        </w:rPr>
        <w:t>accouch</w:t>
      </w:r>
      <w:r w:rsidR="00757A4B">
        <w:rPr>
          <w:lang w:val="fr-BE"/>
        </w:rPr>
        <w:t>a</w:t>
      </w:r>
      <w:r w:rsidR="00757A4B" w:rsidRPr="00757A4B">
        <w:rPr>
          <w:lang w:val="fr-BE"/>
        </w:rPr>
        <w:t>nt après grossesse à risque est</w:t>
      </w:r>
      <w:r w:rsidR="00757A4B">
        <w:rPr>
          <w:lang w:val="fr-BE"/>
        </w:rPr>
        <w:t xml:space="preserve"> 4% plus élevé</w:t>
      </w:r>
      <w:r w:rsidR="00757A4B" w:rsidRPr="00757A4B">
        <w:rPr>
          <w:lang w:val="fr-BE"/>
        </w:rPr>
        <w:t xml:space="preserve"> </w:t>
      </w:r>
      <w:r w:rsidR="00757A4B">
        <w:rPr>
          <w:lang w:val="fr-BE"/>
        </w:rPr>
        <w:t>que celui d’une femme accouchant après une grossesse normale</w:t>
      </w:r>
      <w:r w:rsidR="000444BB" w:rsidRPr="00757A4B">
        <w:rPr>
          <w:lang w:val="fr-BE"/>
        </w:rPr>
        <w:t>.</w:t>
      </w:r>
    </w:p>
    <w:p w:rsidR="002F0B2E" w:rsidRPr="00394355" w:rsidRDefault="00757A4B" w:rsidP="00757A4B">
      <w:pPr>
        <w:pStyle w:val="ListParagraph"/>
        <w:numPr>
          <w:ilvl w:val="0"/>
          <w:numId w:val="22"/>
        </w:numPr>
        <w:spacing w:after="0"/>
        <w:rPr>
          <w:i/>
          <w:lang w:val="fr-BE"/>
        </w:rPr>
      </w:pPr>
      <w:r w:rsidRPr="00757A4B">
        <w:rPr>
          <w:i/>
          <w:lang w:val="fr-BE"/>
        </w:rPr>
        <w:t xml:space="preserve">Ratio DM séjour </w:t>
      </w:r>
      <w:proofErr w:type="spellStart"/>
      <w:r w:rsidRPr="00757A4B">
        <w:rPr>
          <w:i/>
          <w:lang w:val="fr-BE"/>
        </w:rPr>
        <w:t>acc</w:t>
      </w:r>
      <w:proofErr w:type="spellEnd"/>
      <w:r w:rsidRPr="00757A4B">
        <w:rPr>
          <w:i/>
          <w:lang w:val="fr-BE"/>
        </w:rPr>
        <w:t>. voie basse à risque vs. normal</w:t>
      </w:r>
      <w:r w:rsidR="002F0B2E" w:rsidRPr="00757A4B">
        <w:rPr>
          <w:i/>
          <w:lang w:val="fr-BE"/>
        </w:rPr>
        <w:t>.:</w:t>
      </w:r>
      <w:r w:rsidR="002F0B2E" w:rsidRPr="00757A4B">
        <w:rPr>
          <w:lang w:val="fr-BE"/>
        </w:rPr>
        <w:t xml:space="preserve"> </w:t>
      </w:r>
      <w:r w:rsidRPr="00757A4B">
        <w:rPr>
          <w:lang w:val="fr-BE"/>
        </w:rPr>
        <w:t xml:space="preserve">cet indicateur présente le rapport entre la durée moyenne (DM) de séjour </w:t>
      </w:r>
      <w:r>
        <w:rPr>
          <w:lang w:val="fr-BE"/>
        </w:rPr>
        <w:t xml:space="preserve">d’un accouchement </w:t>
      </w:r>
      <w:r w:rsidR="00394355">
        <w:rPr>
          <w:lang w:val="fr-BE"/>
        </w:rPr>
        <w:t xml:space="preserve">par voie vaginale </w:t>
      </w:r>
      <w:r w:rsidRPr="00757A4B">
        <w:rPr>
          <w:lang w:val="fr-BE"/>
        </w:rPr>
        <w:t>après une grossesse à risque et celle</w:t>
      </w:r>
      <w:r>
        <w:rPr>
          <w:lang w:val="fr-BE"/>
        </w:rPr>
        <w:t xml:space="preserve"> d’un accouchement après une grossesse normale.</w:t>
      </w:r>
      <w:r w:rsidR="002F0B2E" w:rsidRPr="00757A4B">
        <w:rPr>
          <w:lang w:val="fr-BE"/>
        </w:rPr>
        <w:t xml:space="preserve"> </w:t>
      </w:r>
      <w:r w:rsidR="00394355" w:rsidRPr="00394355">
        <w:rPr>
          <w:lang w:val="fr-BE"/>
        </w:rPr>
        <w:t>Ainsi (première ligne du tableau) on constate qu’à St-Vincent Ste-Elisabeth la DM de séjour pour un accouchement par voie vaginale après une grossesse à risque est de 12% supérieure à la DM de séjour pour un accouchement par voie vaginale après grossesse normale.</w:t>
      </w:r>
    </w:p>
    <w:p w:rsidR="002F0B2E" w:rsidRPr="00394355" w:rsidRDefault="00394355" w:rsidP="00394355">
      <w:pPr>
        <w:pStyle w:val="ListParagraph"/>
        <w:numPr>
          <w:ilvl w:val="0"/>
          <w:numId w:val="22"/>
        </w:numPr>
        <w:spacing w:after="0"/>
        <w:rPr>
          <w:i/>
          <w:lang w:val="fr-BE"/>
        </w:rPr>
      </w:pPr>
      <w:r w:rsidRPr="00394355">
        <w:rPr>
          <w:i/>
          <w:lang w:val="fr-BE"/>
        </w:rPr>
        <w:t>Ratio DM séjour césarienne à risque vs. normal</w:t>
      </w:r>
      <w:r w:rsidR="002F0B2E" w:rsidRPr="00394355">
        <w:rPr>
          <w:i/>
          <w:lang w:val="fr-BE"/>
        </w:rPr>
        <w:t>.</w:t>
      </w:r>
      <w:r w:rsidRPr="00394355">
        <w:rPr>
          <w:lang w:val="fr-BE"/>
        </w:rPr>
        <w:t>: même type d’indicateur que le précéd</w:t>
      </w:r>
      <w:r>
        <w:rPr>
          <w:lang w:val="fr-BE"/>
        </w:rPr>
        <w:t>e</w:t>
      </w:r>
      <w:r w:rsidRPr="00394355">
        <w:rPr>
          <w:lang w:val="fr-BE"/>
        </w:rPr>
        <w:t>nt, mais pour les accouchements par césarienne.</w:t>
      </w:r>
      <w:r>
        <w:rPr>
          <w:lang w:val="fr-BE"/>
        </w:rPr>
        <w:t xml:space="preserve"> Ainsi, à </w:t>
      </w:r>
      <w:r w:rsidR="002F0B2E" w:rsidRPr="00394355">
        <w:rPr>
          <w:lang w:val="fr-BE"/>
        </w:rPr>
        <w:t>St-Vincent</w:t>
      </w:r>
      <w:r w:rsidR="00532CA9" w:rsidRPr="00394355">
        <w:rPr>
          <w:lang w:val="fr-BE"/>
        </w:rPr>
        <w:t xml:space="preserve"> </w:t>
      </w:r>
      <w:r w:rsidRPr="00394355">
        <w:rPr>
          <w:lang w:val="fr-BE"/>
        </w:rPr>
        <w:t>la DM par césarienne pour une patiente avec grossesse à risque est de 35% plus élevée que la DM d’accouchements par césarienne après une grossesse normale</w:t>
      </w:r>
      <w:r w:rsidR="00532CA9" w:rsidRPr="00394355">
        <w:rPr>
          <w:lang w:val="fr-BE"/>
        </w:rPr>
        <w:t>.</w:t>
      </w:r>
    </w:p>
    <w:p w:rsidR="00F20702" w:rsidRPr="00394355" w:rsidRDefault="00F20702">
      <w:pPr>
        <w:rPr>
          <w:b/>
          <w:i/>
          <w:lang w:val="fr-BE"/>
        </w:rPr>
      </w:pPr>
    </w:p>
    <w:p w:rsidR="00532CA9" w:rsidRPr="00394355" w:rsidRDefault="00532CA9" w:rsidP="00532CA9">
      <w:pPr>
        <w:spacing w:after="0"/>
        <w:rPr>
          <w:b/>
          <w:i/>
          <w:lang w:val="fr-BE"/>
        </w:rPr>
      </w:pPr>
      <w:r w:rsidRPr="00394355">
        <w:rPr>
          <w:b/>
          <w:i/>
          <w:lang w:val="fr-BE"/>
        </w:rPr>
        <w:t>I</w:t>
      </w:r>
      <w:r w:rsidR="00F20702" w:rsidRPr="00394355">
        <w:rPr>
          <w:b/>
          <w:i/>
          <w:lang w:val="fr-BE"/>
        </w:rPr>
        <w:t>V</w:t>
      </w:r>
      <w:r w:rsidRPr="00394355">
        <w:rPr>
          <w:b/>
          <w:i/>
          <w:lang w:val="fr-BE"/>
        </w:rPr>
        <w:t>.</w:t>
      </w:r>
      <w:r w:rsidRPr="00394355">
        <w:rPr>
          <w:b/>
          <w:i/>
          <w:lang w:val="fr-BE"/>
        </w:rPr>
        <w:tab/>
      </w:r>
      <w:r w:rsidR="00394355" w:rsidRPr="00394355">
        <w:rPr>
          <w:b/>
          <w:i/>
          <w:lang w:val="fr-BE"/>
        </w:rPr>
        <w:t xml:space="preserve">Annexes ayant trait aux caractéristiques de la maternité et des gynécologues </w:t>
      </w:r>
      <w:r w:rsidR="00394355">
        <w:rPr>
          <w:b/>
          <w:i/>
          <w:lang w:val="fr-BE"/>
        </w:rPr>
        <w:t xml:space="preserve">y </w:t>
      </w:r>
      <w:r w:rsidR="00394355" w:rsidRPr="00394355">
        <w:rPr>
          <w:b/>
          <w:i/>
          <w:lang w:val="fr-BE"/>
        </w:rPr>
        <w:t>actifs</w:t>
      </w:r>
    </w:p>
    <w:p w:rsidR="00532CA9" w:rsidRPr="00394355" w:rsidRDefault="00532CA9" w:rsidP="000E2BDA">
      <w:pPr>
        <w:spacing w:after="0"/>
        <w:rPr>
          <w:lang w:val="fr-BE"/>
        </w:rPr>
      </w:pPr>
    </w:p>
    <w:p w:rsidR="00532CA9" w:rsidRPr="00394355" w:rsidRDefault="0017606F" w:rsidP="0017606F">
      <w:pPr>
        <w:spacing w:after="0"/>
        <w:ind w:left="709" w:hanging="709"/>
        <w:rPr>
          <w:u w:val="single"/>
          <w:lang w:val="fr-BE"/>
        </w:rPr>
      </w:pPr>
      <w:r w:rsidRPr="00394355">
        <w:rPr>
          <w:lang w:val="fr-BE"/>
        </w:rPr>
        <w:t>2.8.</w:t>
      </w:r>
      <w:r w:rsidRPr="00394355">
        <w:rPr>
          <w:lang w:val="fr-BE"/>
        </w:rPr>
        <w:tab/>
      </w:r>
      <w:r w:rsidR="00394355" w:rsidRPr="00394355">
        <w:rPr>
          <w:u w:val="single"/>
          <w:lang w:val="fr-BE"/>
        </w:rPr>
        <w:t>Annexe 8 - Caractéristiques de la maternité en termes de prestataires y actifs - 2011</w:t>
      </w:r>
    </w:p>
    <w:p w:rsidR="0017606F" w:rsidRPr="00394355" w:rsidRDefault="0017606F" w:rsidP="0017606F">
      <w:pPr>
        <w:spacing w:after="0"/>
        <w:ind w:left="709" w:hanging="709"/>
        <w:rPr>
          <w:lang w:val="fr-BE"/>
        </w:rPr>
      </w:pPr>
    </w:p>
    <w:p w:rsidR="0017606F" w:rsidRPr="002C0024" w:rsidRDefault="00394355" w:rsidP="0017606F">
      <w:pPr>
        <w:spacing w:after="0"/>
        <w:rPr>
          <w:lang w:val="fr-BE"/>
        </w:rPr>
      </w:pPr>
      <w:r w:rsidRPr="00394355">
        <w:rPr>
          <w:lang w:val="fr-BE"/>
        </w:rPr>
        <w:t xml:space="preserve">Dans cet annexe les maternités sont classées en fonction du nombre de gynécologies y actifs. </w:t>
      </w:r>
      <w:r w:rsidRPr="002C0024">
        <w:rPr>
          <w:lang w:val="fr-BE"/>
        </w:rPr>
        <w:t xml:space="preserve">Les </w:t>
      </w:r>
      <w:r w:rsidR="002C0024" w:rsidRPr="002C0024">
        <w:rPr>
          <w:lang w:val="fr-BE"/>
        </w:rPr>
        <w:t>3x</w:t>
      </w:r>
      <w:r w:rsidRPr="002C0024">
        <w:rPr>
          <w:lang w:val="fr-BE"/>
        </w:rPr>
        <w:t>2 premières colonnes donnent un aperçu de la quot</w:t>
      </w:r>
      <w:r w:rsidR="002C0024" w:rsidRPr="002C0024">
        <w:rPr>
          <w:lang w:val="fr-BE"/>
        </w:rPr>
        <w:t>e-part de</w:t>
      </w:r>
      <w:r w:rsidR="002C0024">
        <w:rPr>
          <w:lang w:val="fr-BE"/>
        </w:rPr>
        <w:t>s</w:t>
      </w:r>
      <w:r w:rsidR="002C0024" w:rsidRPr="002C0024">
        <w:rPr>
          <w:lang w:val="fr-BE"/>
        </w:rPr>
        <w:t xml:space="preserve"> cés</w:t>
      </w:r>
      <w:r w:rsidR="002C0024">
        <w:rPr>
          <w:lang w:val="fr-BE"/>
        </w:rPr>
        <w:t>a</w:t>
      </w:r>
      <w:r w:rsidR="002C0024" w:rsidRPr="002C0024">
        <w:rPr>
          <w:lang w:val="fr-BE"/>
        </w:rPr>
        <w:t xml:space="preserve">riennes en fonction du type de grossesse (normale/à </w:t>
      </w:r>
      <w:r w:rsidR="002C0024">
        <w:rPr>
          <w:lang w:val="fr-BE"/>
        </w:rPr>
        <w:t>risque) et pour le total des accouchements par maternité</w:t>
      </w:r>
      <w:r w:rsidR="00D15392" w:rsidRPr="002C0024">
        <w:rPr>
          <w:lang w:val="fr-BE"/>
        </w:rPr>
        <w:t xml:space="preserve">. </w:t>
      </w:r>
    </w:p>
    <w:p w:rsidR="00F20702" w:rsidRPr="002C0024" w:rsidRDefault="00F20702" w:rsidP="0017606F">
      <w:pPr>
        <w:spacing w:after="0"/>
        <w:rPr>
          <w:lang w:val="fr-BE"/>
        </w:rPr>
      </w:pPr>
    </w:p>
    <w:p w:rsidR="0017606F" w:rsidRPr="002C0024" w:rsidRDefault="002C0024" w:rsidP="0017606F">
      <w:pPr>
        <w:spacing w:after="0"/>
        <w:rPr>
          <w:lang w:val="fr-BE"/>
        </w:rPr>
      </w:pPr>
      <w:r w:rsidRPr="002C0024">
        <w:rPr>
          <w:lang w:val="fr-BE"/>
        </w:rPr>
        <w:t xml:space="preserve">A partir de la colonne 7 les caractéristiques concernant les gynécologues actifs par maternité </w:t>
      </w:r>
      <w:r>
        <w:rPr>
          <w:lang w:val="fr-BE"/>
        </w:rPr>
        <w:t xml:space="preserve">(en 2011) </w:t>
      </w:r>
      <w:r w:rsidRPr="002C0024">
        <w:rPr>
          <w:lang w:val="fr-BE"/>
        </w:rPr>
        <w:t>sont reprises</w:t>
      </w:r>
      <w:r w:rsidR="00D15392" w:rsidRPr="002C0024">
        <w:rPr>
          <w:lang w:val="fr-BE"/>
        </w:rPr>
        <w:t>:</w:t>
      </w:r>
    </w:p>
    <w:p w:rsidR="00D15392" w:rsidRPr="00C92706" w:rsidRDefault="00CB3843" w:rsidP="00CB3843">
      <w:pPr>
        <w:pStyle w:val="ListParagraph"/>
        <w:numPr>
          <w:ilvl w:val="0"/>
          <w:numId w:val="23"/>
        </w:numPr>
        <w:spacing w:after="0"/>
        <w:rPr>
          <w:i/>
          <w:lang w:val="fr-BE"/>
        </w:rPr>
      </w:pPr>
      <w:proofErr w:type="spellStart"/>
      <w:r w:rsidRPr="00CB3843">
        <w:rPr>
          <w:i/>
          <w:lang w:val="fr-BE"/>
        </w:rPr>
        <w:t>Nbe</w:t>
      </w:r>
      <w:proofErr w:type="spellEnd"/>
      <w:r w:rsidRPr="00CB3843">
        <w:rPr>
          <w:i/>
          <w:lang w:val="fr-BE"/>
        </w:rPr>
        <w:t xml:space="preserve"> gynéco actifs en 2011</w:t>
      </w:r>
      <w:r w:rsidR="00D15392" w:rsidRPr="00CB3843">
        <w:rPr>
          <w:i/>
          <w:lang w:val="fr-BE"/>
        </w:rPr>
        <w:t>:</w:t>
      </w:r>
      <w:r w:rsidR="00D15392" w:rsidRPr="00CB3843">
        <w:rPr>
          <w:lang w:val="fr-BE"/>
        </w:rPr>
        <w:t xml:space="preserve"> </w:t>
      </w:r>
      <w:r w:rsidRPr="00CB3843">
        <w:rPr>
          <w:lang w:val="fr-BE"/>
        </w:rPr>
        <w:t>le nombre de gynécologues différents ayant attesté au moins un code d’accouchement dans cette maternité dans le courant de cette année de prestation</w:t>
      </w:r>
      <w:r w:rsidR="00D15392">
        <w:rPr>
          <w:rStyle w:val="FootnoteReference"/>
          <w:lang w:val="nl-BE"/>
        </w:rPr>
        <w:footnoteReference w:id="5"/>
      </w:r>
      <w:r w:rsidR="00D15392" w:rsidRPr="00CB3843">
        <w:rPr>
          <w:lang w:val="fr-BE"/>
        </w:rPr>
        <w:t xml:space="preserve">. </w:t>
      </w:r>
      <w:r w:rsidR="00C92706" w:rsidRPr="00C92706">
        <w:rPr>
          <w:lang w:val="fr-BE"/>
        </w:rPr>
        <w:t>Le minimum de gynécologues actifs au sein du maternité constaté en 2011 est de 3</w:t>
      </w:r>
      <w:r w:rsidR="00D15392" w:rsidRPr="00C92706">
        <w:rPr>
          <w:lang w:val="fr-BE"/>
        </w:rPr>
        <w:t xml:space="preserve"> (Chimay e</w:t>
      </w:r>
      <w:r w:rsidR="00C92706">
        <w:rPr>
          <w:lang w:val="fr-BE"/>
        </w:rPr>
        <w:t>t</w:t>
      </w:r>
      <w:r w:rsidR="00D15392" w:rsidRPr="00C92706">
        <w:rPr>
          <w:lang w:val="fr-BE"/>
        </w:rPr>
        <w:t xml:space="preserve"> Veurne), </w:t>
      </w:r>
      <w:r w:rsidR="00C92706">
        <w:rPr>
          <w:lang w:val="fr-BE"/>
        </w:rPr>
        <w:t>le</w:t>
      </w:r>
      <w:r w:rsidR="00D15392" w:rsidRPr="00C92706">
        <w:rPr>
          <w:lang w:val="fr-BE"/>
        </w:rPr>
        <w:t xml:space="preserve"> maximum 88 (Edith Cavell – </w:t>
      </w:r>
      <w:r w:rsidR="00C92706">
        <w:rPr>
          <w:lang w:val="fr-BE"/>
        </w:rPr>
        <w:t xml:space="preserve">dont </w:t>
      </w:r>
      <w:r w:rsidR="00D15392" w:rsidRPr="00C92706">
        <w:rPr>
          <w:lang w:val="fr-BE"/>
        </w:rPr>
        <w:t xml:space="preserve">32 </w:t>
      </w:r>
      <w:r w:rsidR="00C92706">
        <w:rPr>
          <w:lang w:val="fr-BE"/>
        </w:rPr>
        <w:t>sont également actifs au sein d’autres maternités</w:t>
      </w:r>
      <w:r w:rsidR="00D15392" w:rsidRPr="00C92706">
        <w:rPr>
          <w:lang w:val="fr-BE"/>
        </w:rPr>
        <w:t>)</w:t>
      </w:r>
    </w:p>
    <w:p w:rsidR="0015766F" w:rsidRDefault="0015766F">
      <w:pPr>
        <w:rPr>
          <w:i/>
          <w:lang w:val="fr-BE"/>
        </w:rPr>
      </w:pPr>
      <w:r>
        <w:rPr>
          <w:i/>
          <w:lang w:val="fr-BE"/>
        </w:rPr>
        <w:br w:type="page"/>
      </w:r>
    </w:p>
    <w:p w:rsidR="00D15392" w:rsidRPr="00070DE4" w:rsidRDefault="00C92706" w:rsidP="00C92706">
      <w:pPr>
        <w:pStyle w:val="ListParagraph"/>
        <w:numPr>
          <w:ilvl w:val="0"/>
          <w:numId w:val="23"/>
        </w:numPr>
        <w:spacing w:after="0"/>
        <w:rPr>
          <w:i/>
          <w:lang w:val="fr-BE"/>
        </w:rPr>
      </w:pPr>
      <w:proofErr w:type="spellStart"/>
      <w:r w:rsidRPr="0068097A">
        <w:rPr>
          <w:i/>
          <w:lang w:val="fr-BE"/>
        </w:rPr>
        <w:lastRenderedPageBreak/>
        <w:t>Nbe</w:t>
      </w:r>
      <w:proofErr w:type="spellEnd"/>
      <w:r w:rsidRPr="0068097A">
        <w:rPr>
          <w:i/>
          <w:lang w:val="fr-BE"/>
        </w:rPr>
        <w:t xml:space="preserve"> gynéco/</w:t>
      </w:r>
      <w:proofErr w:type="spellStart"/>
      <w:r w:rsidRPr="0068097A">
        <w:rPr>
          <w:i/>
          <w:lang w:val="fr-BE"/>
        </w:rPr>
        <w:t>hôp</w:t>
      </w:r>
      <w:proofErr w:type="spellEnd"/>
      <w:r w:rsidRPr="0068097A">
        <w:rPr>
          <w:i/>
          <w:lang w:val="fr-BE"/>
        </w:rPr>
        <w:t xml:space="preserve"> avec moins de 10 </w:t>
      </w:r>
      <w:proofErr w:type="spellStart"/>
      <w:r w:rsidRPr="0068097A">
        <w:rPr>
          <w:i/>
          <w:lang w:val="fr-BE"/>
        </w:rPr>
        <w:t>acc</w:t>
      </w:r>
      <w:proofErr w:type="spellEnd"/>
      <w:r w:rsidRPr="0068097A">
        <w:rPr>
          <w:i/>
          <w:lang w:val="fr-BE"/>
        </w:rPr>
        <w:t>. en 2011</w:t>
      </w:r>
      <w:r w:rsidR="00D15392" w:rsidRPr="0068097A">
        <w:rPr>
          <w:i/>
          <w:lang w:val="fr-BE"/>
        </w:rPr>
        <w:t xml:space="preserve">: </w:t>
      </w:r>
      <w:r w:rsidR="0068097A" w:rsidRPr="0068097A">
        <w:rPr>
          <w:lang w:val="fr-BE"/>
        </w:rPr>
        <w:t xml:space="preserve">le nombre de gynécologues attestant en 2011 moins de 10 accouchements dans la maternité concernée. </w:t>
      </w:r>
      <w:r w:rsidR="0068097A">
        <w:rPr>
          <w:lang w:val="fr-BE"/>
        </w:rPr>
        <w:t>Indicateur pour le nombre de gynécologues débutants/en fin de carrière et/ou l’existence ou non d’une fonction de formation dans cette maternité</w:t>
      </w:r>
    </w:p>
    <w:p w:rsidR="008C0F7F" w:rsidRPr="00297000" w:rsidRDefault="001930F5" w:rsidP="0068097A">
      <w:pPr>
        <w:pStyle w:val="ListParagraph"/>
        <w:numPr>
          <w:ilvl w:val="0"/>
          <w:numId w:val="23"/>
        </w:numPr>
        <w:spacing w:after="0"/>
        <w:rPr>
          <w:i/>
          <w:lang w:val="fr-BE"/>
        </w:rPr>
      </w:pPr>
      <w:proofErr w:type="spellStart"/>
      <w:r>
        <w:rPr>
          <w:i/>
          <w:lang w:val="fr-BE"/>
        </w:rPr>
        <w:t>Nbe</w:t>
      </w:r>
      <w:proofErr w:type="spellEnd"/>
      <w:r>
        <w:rPr>
          <w:i/>
          <w:lang w:val="fr-BE"/>
        </w:rPr>
        <w:t xml:space="preserve"> </w:t>
      </w:r>
      <w:proofErr w:type="spellStart"/>
      <w:r>
        <w:rPr>
          <w:i/>
          <w:lang w:val="fr-BE"/>
        </w:rPr>
        <w:t>accouch</w:t>
      </w:r>
      <w:proofErr w:type="spellEnd"/>
      <w:r>
        <w:rPr>
          <w:i/>
          <w:lang w:val="fr-BE"/>
        </w:rPr>
        <w:t xml:space="preserve">. min </w:t>
      </w:r>
      <w:r w:rsidR="0068097A" w:rsidRPr="00297000">
        <w:rPr>
          <w:i/>
          <w:lang w:val="fr-BE"/>
        </w:rPr>
        <w:t xml:space="preserve">pour </w:t>
      </w:r>
      <w:proofErr w:type="spellStart"/>
      <w:r w:rsidR="0068097A" w:rsidRPr="00297000">
        <w:rPr>
          <w:i/>
          <w:lang w:val="fr-BE"/>
        </w:rPr>
        <w:t>gyné</w:t>
      </w:r>
      <w:proofErr w:type="spellEnd"/>
      <w:r w:rsidR="0068097A" w:rsidRPr="00297000">
        <w:rPr>
          <w:i/>
          <w:lang w:val="fr-BE"/>
        </w:rPr>
        <w:t xml:space="preserve"> avec min. 10 </w:t>
      </w:r>
      <w:proofErr w:type="spellStart"/>
      <w:r w:rsidR="0068097A" w:rsidRPr="00297000">
        <w:rPr>
          <w:i/>
          <w:lang w:val="fr-BE"/>
        </w:rPr>
        <w:t>accouch</w:t>
      </w:r>
      <w:proofErr w:type="spellEnd"/>
      <w:r w:rsidR="0068097A" w:rsidRPr="00297000">
        <w:rPr>
          <w:i/>
          <w:lang w:val="fr-BE"/>
        </w:rPr>
        <w:t>.</w:t>
      </w:r>
      <w:r w:rsidR="008C0F7F" w:rsidRPr="00297000">
        <w:rPr>
          <w:i/>
          <w:lang w:val="fr-BE"/>
        </w:rPr>
        <w:t xml:space="preserve">: </w:t>
      </w:r>
      <w:r w:rsidR="0068097A" w:rsidRPr="00297000">
        <w:rPr>
          <w:lang w:val="fr-BE"/>
        </w:rPr>
        <w:t>nombre minimal d’accouchements attesté annuellement par un gynécologue au sein des gynécologues de cette maternité ayant attesté au moins 10 accouchements</w:t>
      </w:r>
      <w:r w:rsidR="00A97BBD" w:rsidRPr="00297000">
        <w:rPr>
          <w:lang w:val="fr-BE"/>
        </w:rPr>
        <w:t>.</w:t>
      </w:r>
    </w:p>
    <w:p w:rsidR="00A97BBD" w:rsidRPr="00297000" w:rsidRDefault="00297000" w:rsidP="00297000">
      <w:pPr>
        <w:pStyle w:val="ListParagraph"/>
        <w:numPr>
          <w:ilvl w:val="0"/>
          <w:numId w:val="23"/>
        </w:numPr>
        <w:spacing w:after="0"/>
        <w:rPr>
          <w:i/>
          <w:lang w:val="fr-BE"/>
        </w:rPr>
      </w:pPr>
      <w:proofErr w:type="spellStart"/>
      <w:r w:rsidRPr="00297000">
        <w:rPr>
          <w:i/>
          <w:lang w:val="fr-BE"/>
        </w:rPr>
        <w:t>Nbe</w:t>
      </w:r>
      <w:proofErr w:type="spellEnd"/>
      <w:r w:rsidRPr="00297000">
        <w:rPr>
          <w:i/>
          <w:lang w:val="fr-BE"/>
        </w:rPr>
        <w:t xml:space="preserve"> </w:t>
      </w:r>
      <w:proofErr w:type="spellStart"/>
      <w:r w:rsidRPr="00297000">
        <w:rPr>
          <w:i/>
          <w:lang w:val="fr-BE"/>
        </w:rPr>
        <w:t>accouch</w:t>
      </w:r>
      <w:proofErr w:type="spellEnd"/>
      <w:r w:rsidRPr="00297000">
        <w:rPr>
          <w:i/>
          <w:lang w:val="fr-BE"/>
        </w:rPr>
        <w:t xml:space="preserve">. max pour </w:t>
      </w:r>
      <w:proofErr w:type="spellStart"/>
      <w:r w:rsidRPr="00297000">
        <w:rPr>
          <w:i/>
          <w:lang w:val="fr-BE"/>
        </w:rPr>
        <w:t>gyné</w:t>
      </w:r>
      <w:proofErr w:type="spellEnd"/>
      <w:r w:rsidRPr="00297000">
        <w:rPr>
          <w:i/>
          <w:lang w:val="fr-BE"/>
        </w:rPr>
        <w:t xml:space="preserve"> avec min 10. </w:t>
      </w:r>
      <w:proofErr w:type="spellStart"/>
      <w:r w:rsidRPr="00297000">
        <w:rPr>
          <w:i/>
          <w:lang w:val="fr-BE"/>
        </w:rPr>
        <w:t>accouch</w:t>
      </w:r>
      <w:proofErr w:type="spellEnd"/>
      <w:r w:rsidR="00A97BBD" w:rsidRPr="00297000">
        <w:rPr>
          <w:i/>
          <w:lang w:val="fr-BE"/>
        </w:rPr>
        <w:t>:</w:t>
      </w:r>
      <w:r w:rsidR="00A97BBD" w:rsidRPr="00297000">
        <w:rPr>
          <w:lang w:val="fr-BE"/>
        </w:rPr>
        <w:t xml:space="preserve"> </w:t>
      </w:r>
      <w:r w:rsidRPr="00297000">
        <w:rPr>
          <w:lang w:val="fr-BE"/>
        </w:rPr>
        <w:t>nombre m</w:t>
      </w:r>
      <w:r>
        <w:rPr>
          <w:lang w:val="fr-BE"/>
        </w:rPr>
        <w:t>axi</w:t>
      </w:r>
      <w:r w:rsidRPr="00297000">
        <w:rPr>
          <w:lang w:val="fr-BE"/>
        </w:rPr>
        <w:t>mal d’accouchements attesté annuellement par un gynécologue au sein des gynécologues de cette maternité ayant attesté au moins 10 accouchements.</w:t>
      </w:r>
    </w:p>
    <w:p w:rsidR="00A97BBD" w:rsidRPr="00137255" w:rsidRDefault="00137255" w:rsidP="00137255">
      <w:pPr>
        <w:pStyle w:val="ListParagraph"/>
        <w:numPr>
          <w:ilvl w:val="0"/>
          <w:numId w:val="23"/>
        </w:numPr>
        <w:spacing w:after="0"/>
        <w:rPr>
          <w:i/>
          <w:lang w:val="fr-BE"/>
        </w:rPr>
      </w:pPr>
      <w:proofErr w:type="spellStart"/>
      <w:r w:rsidRPr="00137255">
        <w:rPr>
          <w:i/>
          <w:lang w:val="fr-BE"/>
        </w:rPr>
        <w:t>Nbe</w:t>
      </w:r>
      <w:proofErr w:type="spellEnd"/>
      <w:r w:rsidRPr="00137255">
        <w:rPr>
          <w:i/>
          <w:lang w:val="fr-BE"/>
        </w:rPr>
        <w:t xml:space="preserve">. </w:t>
      </w:r>
      <w:proofErr w:type="spellStart"/>
      <w:r w:rsidRPr="00137255">
        <w:rPr>
          <w:i/>
          <w:lang w:val="fr-BE"/>
        </w:rPr>
        <w:t>moy</w:t>
      </w:r>
      <w:proofErr w:type="spellEnd"/>
      <w:r w:rsidRPr="00137255">
        <w:rPr>
          <w:i/>
          <w:lang w:val="fr-BE"/>
        </w:rPr>
        <w:t xml:space="preserve"> </w:t>
      </w:r>
      <w:proofErr w:type="spellStart"/>
      <w:r w:rsidRPr="00137255">
        <w:rPr>
          <w:i/>
          <w:lang w:val="fr-BE"/>
        </w:rPr>
        <w:t>acc</w:t>
      </w:r>
      <w:proofErr w:type="spellEnd"/>
      <w:r w:rsidRPr="00137255">
        <w:rPr>
          <w:i/>
          <w:lang w:val="fr-BE"/>
        </w:rPr>
        <w:t>./</w:t>
      </w:r>
      <w:proofErr w:type="spellStart"/>
      <w:r w:rsidRPr="00137255">
        <w:rPr>
          <w:i/>
          <w:lang w:val="fr-BE"/>
        </w:rPr>
        <w:t>gyné</w:t>
      </w:r>
      <w:proofErr w:type="spellEnd"/>
      <w:r w:rsidRPr="00137255">
        <w:rPr>
          <w:i/>
          <w:lang w:val="fr-BE"/>
        </w:rPr>
        <w:t xml:space="preserve"> (au moins 10):</w:t>
      </w:r>
      <w:r w:rsidR="00A97BBD" w:rsidRPr="00137255">
        <w:rPr>
          <w:i/>
          <w:lang w:val="fr-BE"/>
        </w:rPr>
        <w:t xml:space="preserve"> </w:t>
      </w:r>
      <w:r w:rsidRPr="00137255">
        <w:rPr>
          <w:lang w:val="fr-BE"/>
        </w:rPr>
        <w:t>nombre moyen d’accouchements annuels par gynécologue au sein de la maternité concernée, attestés par des gynécologues ayant exécutés au moins 10 accouchements sur base annuelle au sein de cette maternité</w:t>
      </w:r>
    </w:p>
    <w:p w:rsidR="00A97BBD" w:rsidRPr="00137255" w:rsidRDefault="00137255" w:rsidP="00137255">
      <w:pPr>
        <w:pStyle w:val="ListParagraph"/>
        <w:numPr>
          <w:ilvl w:val="0"/>
          <w:numId w:val="23"/>
        </w:numPr>
        <w:spacing w:after="0"/>
        <w:rPr>
          <w:i/>
          <w:lang w:val="fr-BE"/>
        </w:rPr>
      </w:pPr>
      <w:proofErr w:type="spellStart"/>
      <w:r w:rsidRPr="00137255">
        <w:rPr>
          <w:i/>
          <w:lang w:val="fr-BE"/>
        </w:rPr>
        <w:t>Nbe</w:t>
      </w:r>
      <w:proofErr w:type="spellEnd"/>
      <w:r w:rsidRPr="00137255">
        <w:rPr>
          <w:i/>
          <w:lang w:val="fr-BE"/>
        </w:rPr>
        <w:t xml:space="preserve">. </w:t>
      </w:r>
      <w:proofErr w:type="spellStart"/>
      <w:r w:rsidRPr="00137255">
        <w:rPr>
          <w:i/>
          <w:lang w:val="fr-BE"/>
        </w:rPr>
        <w:t>moy</w:t>
      </w:r>
      <w:proofErr w:type="spellEnd"/>
      <w:r w:rsidRPr="00137255">
        <w:rPr>
          <w:i/>
          <w:lang w:val="fr-BE"/>
        </w:rPr>
        <w:t xml:space="preserve"> </w:t>
      </w:r>
      <w:proofErr w:type="spellStart"/>
      <w:r w:rsidRPr="00137255">
        <w:rPr>
          <w:i/>
          <w:lang w:val="fr-BE"/>
        </w:rPr>
        <w:t>acc</w:t>
      </w:r>
      <w:proofErr w:type="spellEnd"/>
      <w:r w:rsidRPr="00137255">
        <w:rPr>
          <w:i/>
          <w:lang w:val="fr-BE"/>
        </w:rPr>
        <w:t>./</w:t>
      </w:r>
      <w:proofErr w:type="spellStart"/>
      <w:r w:rsidRPr="00137255">
        <w:rPr>
          <w:i/>
          <w:lang w:val="fr-BE"/>
        </w:rPr>
        <w:t>gynae</w:t>
      </w:r>
      <w:proofErr w:type="spellEnd"/>
      <w:r w:rsidRPr="00137255">
        <w:rPr>
          <w:i/>
          <w:lang w:val="fr-BE"/>
        </w:rPr>
        <w:t xml:space="preserve"> (total)</w:t>
      </w:r>
      <w:r w:rsidR="00A97BBD" w:rsidRPr="00137255">
        <w:rPr>
          <w:i/>
          <w:lang w:val="fr-BE"/>
        </w:rPr>
        <w:t>:</w:t>
      </w:r>
      <w:r w:rsidR="00A97BBD" w:rsidRPr="00137255">
        <w:rPr>
          <w:lang w:val="fr-BE"/>
        </w:rPr>
        <w:t xml:space="preserve"> </w:t>
      </w:r>
      <w:r w:rsidRPr="00137255">
        <w:rPr>
          <w:lang w:val="fr-BE"/>
        </w:rPr>
        <w:t xml:space="preserve">nombre moyen d’accouchements annuels par gynécologue au sein de la maternité concernée, </w:t>
      </w:r>
      <w:r w:rsidR="002140FD">
        <w:rPr>
          <w:lang w:val="fr-BE"/>
        </w:rPr>
        <w:t>sans limite inférieure d’accouchements à attester par gynécologue</w:t>
      </w:r>
    </w:p>
    <w:p w:rsidR="00A97BBD" w:rsidRPr="002140FD" w:rsidRDefault="002140FD" w:rsidP="002140FD">
      <w:pPr>
        <w:pStyle w:val="ListParagraph"/>
        <w:numPr>
          <w:ilvl w:val="0"/>
          <w:numId w:val="23"/>
        </w:numPr>
        <w:spacing w:after="0"/>
        <w:rPr>
          <w:i/>
          <w:lang w:val="fr-BE"/>
        </w:rPr>
      </w:pPr>
      <w:r w:rsidRPr="002140FD">
        <w:rPr>
          <w:i/>
          <w:lang w:val="fr-BE"/>
        </w:rPr>
        <w:t>% César./</w:t>
      </w:r>
      <w:proofErr w:type="spellStart"/>
      <w:r w:rsidRPr="002140FD">
        <w:rPr>
          <w:i/>
          <w:lang w:val="fr-BE"/>
        </w:rPr>
        <w:t>gyné</w:t>
      </w:r>
      <w:proofErr w:type="spellEnd"/>
      <w:r w:rsidRPr="002140FD">
        <w:rPr>
          <w:i/>
          <w:lang w:val="fr-BE"/>
        </w:rPr>
        <w:t xml:space="preserve"> min (au moins 10 </w:t>
      </w:r>
      <w:proofErr w:type="spellStart"/>
      <w:r w:rsidRPr="002140FD">
        <w:rPr>
          <w:i/>
          <w:lang w:val="fr-BE"/>
        </w:rPr>
        <w:t>acc</w:t>
      </w:r>
      <w:proofErr w:type="spellEnd"/>
      <w:r w:rsidRPr="002140FD">
        <w:rPr>
          <w:i/>
          <w:lang w:val="fr-BE"/>
        </w:rPr>
        <w:t>.)</w:t>
      </w:r>
      <w:r w:rsidR="00A97BBD" w:rsidRPr="002140FD">
        <w:rPr>
          <w:i/>
          <w:lang w:val="fr-BE"/>
        </w:rPr>
        <w:t>:</w:t>
      </w:r>
      <w:r w:rsidR="00A97BBD" w:rsidRPr="002140FD">
        <w:rPr>
          <w:lang w:val="fr-BE"/>
        </w:rPr>
        <w:t xml:space="preserve"> </w:t>
      </w:r>
      <w:r w:rsidRPr="002140FD">
        <w:rPr>
          <w:lang w:val="fr-BE"/>
        </w:rPr>
        <w:t xml:space="preserve">le taux de césariennes minimal </w:t>
      </w:r>
      <w:r>
        <w:rPr>
          <w:lang w:val="fr-BE"/>
        </w:rPr>
        <w:t xml:space="preserve">individuel </w:t>
      </w:r>
      <w:r w:rsidRPr="002140FD">
        <w:rPr>
          <w:lang w:val="fr-BE"/>
        </w:rPr>
        <w:t xml:space="preserve">par gynécologue </w:t>
      </w:r>
      <w:r>
        <w:rPr>
          <w:lang w:val="fr-BE"/>
        </w:rPr>
        <w:t>constaté auprès des gynécologues</w:t>
      </w:r>
      <w:r w:rsidRPr="002140FD">
        <w:rPr>
          <w:lang w:val="fr-BE"/>
        </w:rPr>
        <w:t xml:space="preserve"> ayant attesté au moins 10 accouchements sur base annuelle dans cette maternité</w:t>
      </w:r>
    </w:p>
    <w:p w:rsidR="00A97BBD" w:rsidRPr="002140FD" w:rsidRDefault="002140FD" w:rsidP="002140FD">
      <w:pPr>
        <w:pStyle w:val="ListParagraph"/>
        <w:numPr>
          <w:ilvl w:val="0"/>
          <w:numId w:val="23"/>
        </w:numPr>
        <w:spacing w:after="0"/>
        <w:rPr>
          <w:i/>
          <w:lang w:val="fr-BE"/>
        </w:rPr>
      </w:pPr>
      <w:r w:rsidRPr="002140FD">
        <w:rPr>
          <w:i/>
          <w:lang w:val="fr-BE"/>
        </w:rPr>
        <w:t>% César./</w:t>
      </w:r>
      <w:proofErr w:type="spellStart"/>
      <w:r w:rsidRPr="002140FD">
        <w:rPr>
          <w:i/>
          <w:lang w:val="fr-BE"/>
        </w:rPr>
        <w:t>gyné</w:t>
      </w:r>
      <w:proofErr w:type="spellEnd"/>
      <w:r w:rsidRPr="002140FD">
        <w:rPr>
          <w:i/>
          <w:lang w:val="fr-BE"/>
        </w:rPr>
        <w:t xml:space="preserve"> max (au moins 10 </w:t>
      </w:r>
      <w:proofErr w:type="spellStart"/>
      <w:r w:rsidRPr="002140FD">
        <w:rPr>
          <w:i/>
          <w:lang w:val="fr-BE"/>
        </w:rPr>
        <w:t>acc</w:t>
      </w:r>
      <w:proofErr w:type="spellEnd"/>
      <w:r w:rsidRPr="002140FD">
        <w:rPr>
          <w:i/>
          <w:lang w:val="fr-BE"/>
        </w:rPr>
        <w:t>.)</w:t>
      </w:r>
      <w:r w:rsidR="00A97BBD" w:rsidRPr="002140FD">
        <w:rPr>
          <w:lang w:val="fr-BE"/>
        </w:rPr>
        <w:t xml:space="preserve"> : </w:t>
      </w:r>
      <w:r w:rsidRPr="002140FD">
        <w:rPr>
          <w:lang w:val="fr-BE"/>
        </w:rPr>
        <w:t>le taux de césariennes m</w:t>
      </w:r>
      <w:r>
        <w:rPr>
          <w:lang w:val="fr-BE"/>
        </w:rPr>
        <w:t>axi</w:t>
      </w:r>
      <w:r w:rsidRPr="002140FD">
        <w:rPr>
          <w:lang w:val="fr-BE"/>
        </w:rPr>
        <w:t xml:space="preserve">mal </w:t>
      </w:r>
      <w:r>
        <w:rPr>
          <w:lang w:val="fr-BE"/>
        </w:rPr>
        <w:t xml:space="preserve">individuel </w:t>
      </w:r>
      <w:r w:rsidRPr="002140FD">
        <w:rPr>
          <w:lang w:val="fr-BE"/>
        </w:rPr>
        <w:t xml:space="preserve">par gynécologue </w:t>
      </w:r>
      <w:r>
        <w:rPr>
          <w:lang w:val="fr-BE"/>
        </w:rPr>
        <w:t>constaté auprès des gynécologues</w:t>
      </w:r>
      <w:r w:rsidRPr="002140FD">
        <w:rPr>
          <w:lang w:val="fr-BE"/>
        </w:rPr>
        <w:t xml:space="preserve"> ayant attesté au moins 10 accouchements sur base annuelle dans cette maternité</w:t>
      </w:r>
    </w:p>
    <w:p w:rsidR="00A97BBD" w:rsidRPr="002140FD" w:rsidRDefault="002140FD" w:rsidP="002140FD">
      <w:pPr>
        <w:pStyle w:val="ListParagraph"/>
        <w:numPr>
          <w:ilvl w:val="0"/>
          <w:numId w:val="23"/>
        </w:numPr>
        <w:spacing w:after="0"/>
        <w:rPr>
          <w:i/>
          <w:lang w:val="fr-BE"/>
        </w:rPr>
      </w:pPr>
      <w:proofErr w:type="spellStart"/>
      <w:r w:rsidRPr="002140FD">
        <w:rPr>
          <w:i/>
          <w:lang w:val="fr-BE"/>
        </w:rPr>
        <w:t>Nbe</w:t>
      </w:r>
      <w:proofErr w:type="spellEnd"/>
      <w:r w:rsidRPr="002140FD">
        <w:rPr>
          <w:i/>
          <w:lang w:val="fr-BE"/>
        </w:rPr>
        <w:t xml:space="preserve"> Accoucheuses 2011</w:t>
      </w:r>
      <w:r w:rsidR="00A97BBD" w:rsidRPr="002140FD">
        <w:rPr>
          <w:i/>
          <w:lang w:val="fr-BE"/>
        </w:rPr>
        <w:t xml:space="preserve">: </w:t>
      </w:r>
      <w:r w:rsidRPr="002140FD">
        <w:rPr>
          <w:lang w:val="fr-BE"/>
        </w:rPr>
        <w:t xml:space="preserve">nombre d’accoucheuses au sein de la maternité concernée ayant attesté au moins un accouchement à </w:t>
      </w:r>
      <w:r w:rsidR="00B73F36">
        <w:rPr>
          <w:lang w:val="fr-BE"/>
        </w:rPr>
        <w:t>leur</w:t>
      </w:r>
      <w:r w:rsidRPr="002140FD">
        <w:rPr>
          <w:lang w:val="fr-BE"/>
        </w:rPr>
        <w:t xml:space="preserve"> nom</w:t>
      </w:r>
    </w:p>
    <w:p w:rsidR="00A97BBD" w:rsidRPr="002140FD" w:rsidRDefault="002140FD" w:rsidP="002140FD">
      <w:pPr>
        <w:pStyle w:val="ListParagraph"/>
        <w:numPr>
          <w:ilvl w:val="0"/>
          <w:numId w:val="23"/>
        </w:numPr>
        <w:spacing w:after="0"/>
        <w:rPr>
          <w:i/>
          <w:lang w:val="fr-BE"/>
        </w:rPr>
      </w:pPr>
      <w:r w:rsidRPr="002140FD">
        <w:rPr>
          <w:i/>
          <w:lang w:val="fr-BE"/>
        </w:rPr>
        <w:t xml:space="preserve"># </w:t>
      </w:r>
      <w:proofErr w:type="spellStart"/>
      <w:r w:rsidRPr="002140FD">
        <w:rPr>
          <w:i/>
          <w:lang w:val="fr-BE"/>
        </w:rPr>
        <w:t>Tot</w:t>
      </w:r>
      <w:proofErr w:type="spellEnd"/>
      <w:r w:rsidRPr="002140FD">
        <w:rPr>
          <w:i/>
          <w:lang w:val="fr-BE"/>
        </w:rPr>
        <w:t xml:space="preserve">. </w:t>
      </w:r>
      <w:proofErr w:type="spellStart"/>
      <w:r w:rsidRPr="002140FD">
        <w:rPr>
          <w:i/>
          <w:lang w:val="fr-BE"/>
        </w:rPr>
        <w:t>acc</w:t>
      </w:r>
      <w:proofErr w:type="spellEnd"/>
      <w:r w:rsidRPr="002140FD">
        <w:rPr>
          <w:i/>
          <w:lang w:val="fr-BE"/>
        </w:rPr>
        <w:t xml:space="preserve">. par </w:t>
      </w:r>
      <w:proofErr w:type="spellStart"/>
      <w:r w:rsidRPr="002140FD">
        <w:rPr>
          <w:i/>
          <w:lang w:val="fr-BE"/>
        </w:rPr>
        <w:t>accouch</w:t>
      </w:r>
      <w:proofErr w:type="spellEnd"/>
      <w:r w:rsidRPr="002140FD">
        <w:rPr>
          <w:i/>
          <w:lang w:val="fr-BE"/>
        </w:rPr>
        <w:t>.</w:t>
      </w:r>
      <w:r w:rsidR="00393143" w:rsidRPr="002140FD">
        <w:rPr>
          <w:i/>
          <w:lang w:val="fr-BE"/>
        </w:rPr>
        <w:t xml:space="preserve">: </w:t>
      </w:r>
      <w:r w:rsidRPr="002140FD">
        <w:rPr>
          <w:lang w:val="fr-BE"/>
        </w:rPr>
        <w:t>nombre t</w:t>
      </w:r>
      <w:r w:rsidR="00393143" w:rsidRPr="002140FD">
        <w:rPr>
          <w:lang w:val="fr-BE"/>
        </w:rPr>
        <w:t xml:space="preserve">otal </w:t>
      </w:r>
      <w:r w:rsidRPr="002140FD">
        <w:rPr>
          <w:lang w:val="fr-BE"/>
        </w:rPr>
        <w:t>d’accouchements attestés par des accoucheuses au sein de la maternité en question</w:t>
      </w:r>
    </w:p>
    <w:p w:rsidR="002140FD" w:rsidRPr="002140FD" w:rsidRDefault="002140FD" w:rsidP="002140FD">
      <w:pPr>
        <w:pStyle w:val="ListParagraph"/>
        <w:spacing w:after="0"/>
        <w:rPr>
          <w:i/>
          <w:lang w:val="fr-BE"/>
        </w:rPr>
      </w:pPr>
    </w:p>
    <w:p w:rsidR="00D15392" w:rsidRPr="00F8067F" w:rsidRDefault="002140FD" w:rsidP="00F8067F">
      <w:pPr>
        <w:pBdr>
          <w:top w:val="single" w:sz="4" w:space="1" w:color="auto"/>
          <w:left w:val="single" w:sz="4" w:space="4" w:color="auto"/>
          <w:bottom w:val="single" w:sz="4" w:space="1" w:color="auto"/>
          <w:right w:val="single" w:sz="4" w:space="4" w:color="auto"/>
        </w:pBdr>
        <w:spacing w:after="0"/>
        <w:ind w:left="360"/>
        <w:rPr>
          <w:lang w:val="fr-BE"/>
        </w:rPr>
      </w:pPr>
      <w:r w:rsidRPr="00D72301">
        <w:rPr>
          <w:b/>
          <w:highlight w:val="yellow"/>
          <w:lang w:val="fr-BE"/>
        </w:rPr>
        <w:t>Remarque</w:t>
      </w:r>
      <w:r w:rsidR="00393143" w:rsidRPr="00D72301">
        <w:rPr>
          <w:b/>
          <w:highlight w:val="yellow"/>
          <w:lang w:val="fr-BE"/>
        </w:rPr>
        <w:t xml:space="preserve">: </w:t>
      </w:r>
      <w:r w:rsidR="00D72301" w:rsidRPr="00D72301">
        <w:rPr>
          <w:highlight w:val="yellow"/>
          <w:lang w:val="fr-BE"/>
        </w:rPr>
        <w:t>Compte tenu du fait que le poin</w:t>
      </w:r>
      <w:r w:rsidR="00D72301">
        <w:rPr>
          <w:highlight w:val="yellow"/>
          <w:lang w:val="fr-BE"/>
        </w:rPr>
        <w:t>t de comparaison ici est consti</w:t>
      </w:r>
      <w:r w:rsidR="00D72301" w:rsidRPr="00D72301">
        <w:rPr>
          <w:highlight w:val="yellow"/>
          <w:lang w:val="fr-BE"/>
        </w:rPr>
        <w:t>tué par la maternité/le campus en question, cela a comme conséquence que les différents indicateurs pour les maternités où relativement beaucoup</w:t>
      </w:r>
      <w:r w:rsidR="00D72301">
        <w:rPr>
          <w:highlight w:val="yellow"/>
          <w:lang w:val="fr-BE"/>
        </w:rPr>
        <w:t xml:space="preserve"> de gynécologues sont également actifs au sein d’autres maternités (un phénomène en majorité bruxellois et li</w:t>
      </w:r>
      <w:r w:rsidR="001930F5">
        <w:rPr>
          <w:highlight w:val="yellow"/>
          <w:lang w:val="fr-BE"/>
        </w:rPr>
        <w:t>é</w:t>
      </w:r>
      <w:r w:rsidR="00D72301">
        <w:rPr>
          <w:highlight w:val="yellow"/>
          <w:lang w:val="fr-BE"/>
        </w:rPr>
        <w:t>geois) ne donnent pas une image réaliste de l’activité (volume et taux de césariennes) des prestataires y actifs</w:t>
      </w:r>
      <w:r w:rsidR="00393143" w:rsidRPr="00D72301">
        <w:rPr>
          <w:highlight w:val="yellow"/>
          <w:lang w:val="fr-BE"/>
        </w:rPr>
        <w:t xml:space="preserve">. </w:t>
      </w:r>
      <w:r w:rsidR="00D72301" w:rsidRPr="00F8067F">
        <w:rPr>
          <w:highlight w:val="yellow"/>
          <w:lang w:val="fr-BE"/>
        </w:rPr>
        <w:t>Ce biais est compensé par l’information repris</w:t>
      </w:r>
      <w:r w:rsidR="001930F5">
        <w:rPr>
          <w:highlight w:val="yellow"/>
          <w:lang w:val="fr-BE"/>
        </w:rPr>
        <w:t>e</w:t>
      </w:r>
      <w:r w:rsidR="00D72301" w:rsidRPr="00F8067F">
        <w:rPr>
          <w:highlight w:val="yellow"/>
          <w:lang w:val="fr-BE"/>
        </w:rPr>
        <w:t xml:space="preserve"> dans l’annexe 9, mais dans celui-ci, dû au risque trop important d’identification indirecte (législation vie privée) de ces gynécologues</w:t>
      </w:r>
      <w:r w:rsidR="00F8067F" w:rsidRPr="00F8067F">
        <w:rPr>
          <w:highlight w:val="yellow"/>
          <w:lang w:val="fr-BE"/>
        </w:rPr>
        <w:t>, il</w:t>
      </w:r>
      <w:r w:rsidR="00F8067F">
        <w:rPr>
          <w:highlight w:val="yellow"/>
          <w:lang w:val="fr-BE"/>
        </w:rPr>
        <w:t xml:space="preserve"> </w:t>
      </w:r>
      <w:r w:rsidR="00F8067F" w:rsidRPr="00F8067F">
        <w:rPr>
          <w:highlight w:val="yellow"/>
          <w:lang w:val="fr-BE"/>
        </w:rPr>
        <w:t xml:space="preserve">est impossible pour </w:t>
      </w:r>
      <w:r w:rsidR="00F8067F">
        <w:rPr>
          <w:highlight w:val="yellow"/>
          <w:lang w:val="fr-BE"/>
        </w:rPr>
        <w:t xml:space="preserve">les gynécologues actifs dans plusieurs maternités, de mentionner dans quelles maternités ils sont actifs. </w:t>
      </w:r>
      <w:r w:rsidR="00F8067F" w:rsidRPr="00F8067F">
        <w:rPr>
          <w:highlight w:val="yellow"/>
          <w:lang w:val="fr-BE"/>
        </w:rPr>
        <w:t xml:space="preserve">Les résultats de E. </w:t>
      </w:r>
      <w:r w:rsidR="001930F5">
        <w:rPr>
          <w:highlight w:val="yellow"/>
          <w:lang w:val="fr-BE"/>
        </w:rPr>
        <w:t>Cavell</w:t>
      </w:r>
      <w:r w:rsidR="00F8067F" w:rsidRPr="00F8067F">
        <w:rPr>
          <w:highlight w:val="yellow"/>
          <w:lang w:val="fr-BE"/>
        </w:rPr>
        <w:t xml:space="preserve"> et de St-Vincent Ste-Elisabeth Liège (faibles moyennes par gynécologue) constituent un bel exemple de ce biais</w:t>
      </w:r>
    </w:p>
    <w:p w:rsidR="007D5AE8" w:rsidRPr="00F8067F" w:rsidRDefault="007D5AE8" w:rsidP="0017606F">
      <w:pPr>
        <w:spacing w:after="0"/>
        <w:rPr>
          <w:lang w:val="fr-BE"/>
        </w:rPr>
      </w:pPr>
    </w:p>
    <w:p w:rsidR="001930F5" w:rsidRDefault="001930F5">
      <w:pPr>
        <w:rPr>
          <w:lang w:val="fr-BE"/>
        </w:rPr>
      </w:pPr>
      <w:r>
        <w:rPr>
          <w:lang w:val="fr-BE"/>
        </w:rPr>
        <w:br w:type="page"/>
      </w:r>
    </w:p>
    <w:p w:rsidR="004212DB" w:rsidRPr="00F8067F" w:rsidRDefault="003F680A" w:rsidP="003F680A">
      <w:pPr>
        <w:spacing w:after="0"/>
        <w:ind w:left="709" w:hanging="709"/>
        <w:rPr>
          <w:lang w:val="fr-BE"/>
        </w:rPr>
      </w:pPr>
      <w:r w:rsidRPr="00F8067F">
        <w:rPr>
          <w:lang w:val="fr-BE"/>
        </w:rPr>
        <w:lastRenderedPageBreak/>
        <w:t>2.9.</w:t>
      </w:r>
      <w:r w:rsidRPr="00F8067F">
        <w:rPr>
          <w:lang w:val="fr-BE"/>
        </w:rPr>
        <w:tab/>
      </w:r>
      <w:r w:rsidR="00F8067F" w:rsidRPr="00F8067F">
        <w:rPr>
          <w:u w:val="single"/>
          <w:lang w:val="fr-BE"/>
        </w:rPr>
        <w:t>Annexe 9 - Volume d'accouchements en caractéristiques par gynécologue individuel - Total des accouchements</w:t>
      </w:r>
    </w:p>
    <w:p w:rsidR="003F680A" w:rsidRPr="00F8067F" w:rsidRDefault="003F680A" w:rsidP="000E2BDA">
      <w:pPr>
        <w:spacing w:after="0"/>
        <w:rPr>
          <w:lang w:val="fr-BE"/>
        </w:rPr>
      </w:pPr>
    </w:p>
    <w:p w:rsidR="003F680A" w:rsidRPr="00F72598" w:rsidRDefault="00F72598" w:rsidP="000E2BDA">
      <w:pPr>
        <w:spacing w:after="0"/>
        <w:rPr>
          <w:lang w:val="fr-BE"/>
        </w:rPr>
      </w:pPr>
      <w:r w:rsidRPr="00F72598">
        <w:rPr>
          <w:lang w:val="fr-BE"/>
        </w:rPr>
        <w:t xml:space="preserve">L’annexe 9 donne un aperçu du nombre total d’accouchements attestés par gynécologue en 2011, </w:t>
      </w:r>
      <w:proofErr w:type="spellStart"/>
      <w:r w:rsidRPr="00F72598">
        <w:rPr>
          <w:lang w:val="fr-BE"/>
        </w:rPr>
        <w:t>quelque</w:t>
      </w:r>
      <w:proofErr w:type="spellEnd"/>
      <w:r w:rsidRPr="00F72598">
        <w:rPr>
          <w:lang w:val="fr-BE"/>
        </w:rPr>
        <w:t xml:space="preserve"> soit le nombre de maternités dans lesquelles il a été actif. </w:t>
      </w:r>
      <w:r>
        <w:rPr>
          <w:lang w:val="fr-BE"/>
        </w:rPr>
        <w:t xml:space="preserve">Pour les gynécologues actifs dans plusieurs maternités, le risque d’identification indirecte trop importante ne permet pas de mentionner où il a été actif. Les noms des maternités ont pour cette raison été remplacés par le nombre de maternités où il a été </w:t>
      </w:r>
      <w:r w:rsidR="003E5338">
        <w:rPr>
          <w:lang w:val="fr-BE"/>
        </w:rPr>
        <w:t>actif</w:t>
      </w:r>
      <w:r w:rsidR="00221299" w:rsidRPr="00F72598">
        <w:rPr>
          <w:lang w:val="fr-BE"/>
        </w:rPr>
        <w:t xml:space="preserve">. </w:t>
      </w:r>
    </w:p>
    <w:p w:rsidR="00221299" w:rsidRPr="00F72598" w:rsidRDefault="00221299" w:rsidP="000E2BDA">
      <w:pPr>
        <w:spacing w:after="0"/>
        <w:rPr>
          <w:lang w:val="fr-BE"/>
        </w:rPr>
      </w:pPr>
    </w:p>
    <w:p w:rsidR="00221299" w:rsidRPr="00070DE4" w:rsidRDefault="003E5338" w:rsidP="000E2BDA">
      <w:pPr>
        <w:spacing w:after="0"/>
        <w:rPr>
          <w:lang w:val="fr-BE"/>
        </w:rPr>
      </w:pPr>
      <w:r w:rsidRPr="003E5338">
        <w:rPr>
          <w:lang w:val="fr-BE"/>
        </w:rPr>
        <w:t xml:space="preserve">Dans ce tableau les prestataires sont classés sur base du nombre d’accouchements attestés à leur nom en </w:t>
      </w:r>
      <w:r w:rsidR="00221299" w:rsidRPr="003E5338">
        <w:rPr>
          <w:lang w:val="fr-BE"/>
        </w:rPr>
        <w:t>2011</w:t>
      </w:r>
      <w:r w:rsidR="00B24FD1" w:rsidRPr="003E5338">
        <w:rPr>
          <w:lang w:val="fr-BE"/>
        </w:rPr>
        <w:t xml:space="preserve">. </w:t>
      </w:r>
      <w:r>
        <w:rPr>
          <w:lang w:val="fr-BE"/>
        </w:rPr>
        <w:t>Les colonnes suivantes donnent un aperçu du type d’accouchement, des caractéristiques de la patientèle traitée et de la durée moyenne de séjour de ces patientes (</w:t>
      </w:r>
      <w:proofErr w:type="spellStart"/>
      <w:r>
        <w:rPr>
          <w:lang w:val="fr-BE"/>
        </w:rPr>
        <w:t>quelque</w:t>
      </w:r>
      <w:proofErr w:type="spellEnd"/>
      <w:r>
        <w:rPr>
          <w:lang w:val="fr-BE"/>
        </w:rPr>
        <w:t xml:space="preserve"> soit le type d’accouchement). </w:t>
      </w:r>
      <w:r w:rsidRPr="00070DE4">
        <w:rPr>
          <w:lang w:val="fr-BE"/>
        </w:rPr>
        <w:t xml:space="preserve">Pour les gynécologues actifs dans </w:t>
      </w:r>
      <w:proofErr w:type="spellStart"/>
      <w:r w:rsidRPr="00070DE4">
        <w:rPr>
          <w:lang w:val="fr-BE"/>
        </w:rPr>
        <w:t>plusieures</w:t>
      </w:r>
      <w:proofErr w:type="spellEnd"/>
      <w:r w:rsidRPr="00070DE4">
        <w:rPr>
          <w:lang w:val="fr-BE"/>
        </w:rPr>
        <w:t xml:space="preserve"> maternités, les caractéristiques de leur patientèle totale est mentionnée.</w:t>
      </w:r>
    </w:p>
    <w:p w:rsidR="003F680A" w:rsidRPr="00070DE4" w:rsidRDefault="003F680A" w:rsidP="000E2BDA">
      <w:pPr>
        <w:spacing w:after="0"/>
        <w:rPr>
          <w:lang w:val="fr-BE"/>
        </w:rPr>
      </w:pPr>
    </w:p>
    <w:p w:rsidR="00221299" w:rsidRPr="003E5338" w:rsidRDefault="00B24FD1" w:rsidP="00B24FD1">
      <w:pPr>
        <w:spacing w:after="0"/>
        <w:ind w:left="709" w:hanging="709"/>
        <w:rPr>
          <w:lang w:val="fr-BE"/>
        </w:rPr>
      </w:pPr>
      <w:r w:rsidRPr="00070DE4">
        <w:rPr>
          <w:lang w:val="fr-BE"/>
        </w:rPr>
        <w:t>2.10.</w:t>
      </w:r>
      <w:r w:rsidRPr="00070DE4">
        <w:rPr>
          <w:lang w:val="fr-BE"/>
        </w:rPr>
        <w:tab/>
      </w:r>
      <w:r w:rsidR="003E5338" w:rsidRPr="003E5338">
        <w:rPr>
          <w:u w:val="single"/>
          <w:lang w:val="fr-BE"/>
        </w:rPr>
        <w:t>Annexe 10 - Taux de césariennes des gynécologues actifs en 2011 sur base de leur volume de prestations 2008-2011</w:t>
      </w:r>
    </w:p>
    <w:p w:rsidR="00221299" w:rsidRPr="003E5338" w:rsidRDefault="00221299" w:rsidP="000E2BDA">
      <w:pPr>
        <w:spacing w:after="0"/>
        <w:rPr>
          <w:lang w:val="fr-BE"/>
        </w:rPr>
      </w:pPr>
    </w:p>
    <w:p w:rsidR="00B24FD1" w:rsidRPr="00EF0374" w:rsidRDefault="003E5338" w:rsidP="000E2BDA">
      <w:pPr>
        <w:spacing w:after="0"/>
        <w:rPr>
          <w:lang w:val="fr-BE"/>
        </w:rPr>
      </w:pPr>
      <w:r w:rsidRPr="00EF0374">
        <w:rPr>
          <w:lang w:val="fr-BE"/>
        </w:rPr>
        <w:t>L’annexe 10 donne un aperçu de l’activité</w:t>
      </w:r>
      <w:r w:rsidR="00B24FD1" w:rsidRPr="00EF0374">
        <w:rPr>
          <w:lang w:val="fr-BE"/>
        </w:rPr>
        <w:t xml:space="preserve"> 2008-2011 </w:t>
      </w:r>
      <w:r w:rsidR="00EF0374" w:rsidRPr="00EF0374">
        <w:rPr>
          <w:lang w:val="fr-BE"/>
        </w:rPr>
        <w:t xml:space="preserve">des prestataires encore actifs en </w:t>
      </w:r>
      <w:r w:rsidR="00B24FD1" w:rsidRPr="00EF0374">
        <w:rPr>
          <w:lang w:val="fr-BE"/>
        </w:rPr>
        <w:t>2011</w:t>
      </w:r>
      <w:r w:rsidR="00EF0374" w:rsidRPr="00EF0374">
        <w:rPr>
          <w:lang w:val="fr-BE"/>
        </w:rPr>
        <w:t>. Les gynécologues sont classés sur base du volume total d’accouchements attestés entre 2008 et 2011.</w:t>
      </w:r>
      <w:r w:rsidR="00EF0374">
        <w:rPr>
          <w:lang w:val="fr-BE"/>
        </w:rPr>
        <w:t xml:space="preserve"> </w:t>
      </w:r>
      <w:r w:rsidR="00EF0374" w:rsidRPr="00EF0374">
        <w:rPr>
          <w:lang w:val="fr-BE"/>
        </w:rPr>
        <w:t>Pour chaque année et par gynécologue, le nombre total d’accouchements, le nombre de césariennes et le taux de césariennes sont mentionnés.</w:t>
      </w:r>
      <w:r w:rsidR="00EF0374">
        <w:rPr>
          <w:lang w:val="fr-BE"/>
        </w:rPr>
        <w:t xml:space="preserve"> </w:t>
      </w:r>
      <w:r w:rsidR="00EF0374" w:rsidRPr="00EF0374">
        <w:rPr>
          <w:lang w:val="fr-BE"/>
        </w:rPr>
        <w:t>Les 3 dernières colonnes reprennent la même information, mais alors pour la période complète de 4 ans</w:t>
      </w:r>
      <w:r w:rsidR="00B24FD1" w:rsidRPr="00EF0374">
        <w:rPr>
          <w:lang w:val="fr-BE"/>
        </w:rPr>
        <w:t>.</w:t>
      </w:r>
    </w:p>
    <w:p w:rsidR="00B24FD1" w:rsidRPr="00EF0374" w:rsidRDefault="00B24FD1" w:rsidP="000E2BDA">
      <w:pPr>
        <w:spacing w:after="0"/>
        <w:rPr>
          <w:lang w:val="fr-BE"/>
        </w:rPr>
      </w:pPr>
    </w:p>
    <w:p w:rsidR="009A70C9" w:rsidRPr="00EF0374" w:rsidRDefault="00EF0374" w:rsidP="009A70C9">
      <w:pPr>
        <w:spacing w:after="0"/>
        <w:rPr>
          <w:lang w:val="fr-BE"/>
        </w:rPr>
      </w:pPr>
      <w:r w:rsidRPr="00EF0374">
        <w:rPr>
          <w:lang w:val="fr-BE"/>
        </w:rPr>
        <w:t xml:space="preserve">Les lignes </w:t>
      </w:r>
      <w:r w:rsidR="009A70C9" w:rsidRPr="00EF0374">
        <w:rPr>
          <w:lang w:val="fr-BE"/>
        </w:rPr>
        <w:t xml:space="preserve">1146 </w:t>
      </w:r>
      <w:r w:rsidRPr="00EF0374">
        <w:rPr>
          <w:lang w:val="fr-BE"/>
        </w:rPr>
        <w:t xml:space="preserve">jusqu’à </w:t>
      </w:r>
      <w:r w:rsidR="009A70C9" w:rsidRPr="00EF0374">
        <w:rPr>
          <w:lang w:val="fr-BE"/>
        </w:rPr>
        <w:t xml:space="preserve">1149 </w:t>
      </w:r>
      <w:r w:rsidRPr="00EF0374">
        <w:rPr>
          <w:lang w:val="fr-BE"/>
        </w:rPr>
        <w:t xml:space="preserve">donnent de l’information complémentaire concernant les accouchements effectués pour les années avant </w:t>
      </w:r>
      <w:r w:rsidR="009A70C9" w:rsidRPr="00EF0374">
        <w:rPr>
          <w:lang w:val="fr-BE"/>
        </w:rPr>
        <w:t xml:space="preserve">2011 </w:t>
      </w:r>
      <w:r w:rsidRPr="00EF0374">
        <w:rPr>
          <w:lang w:val="fr-BE"/>
        </w:rPr>
        <w:t>par des prestataires n’étant plus actifs en 2011</w:t>
      </w:r>
      <w:r>
        <w:rPr>
          <w:lang w:val="fr-BE"/>
        </w:rPr>
        <w:t xml:space="preserve">, de manière à pouvoir reconstituer les totaux repris dans les tableaux précédents et relatifs aux années </w:t>
      </w:r>
      <w:r w:rsidR="009A70C9" w:rsidRPr="00EF0374">
        <w:rPr>
          <w:lang w:val="fr-BE"/>
        </w:rPr>
        <w:t>2008-2010</w:t>
      </w:r>
      <w:r>
        <w:rPr>
          <w:lang w:val="fr-BE"/>
        </w:rPr>
        <w:t>.</w:t>
      </w:r>
    </w:p>
    <w:p w:rsidR="009A70C9" w:rsidRPr="00EF0374" w:rsidRDefault="00EF0374" w:rsidP="009A70C9">
      <w:pPr>
        <w:spacing w:after="0"/>
        <w:rPr>
          <w:lang w:val="fr-BE"/>
        </w:rPr>
      </w:pPr>
      <w:r w:rsidRPr="00EF0374">
        <w:rPr>
          <w:lang w:val="fr-BE"/>
        </w:rPr>
        <w:t xml:space="preserve">Ainsi la ligne </w:t>
      </w:r>
      <w:r w:rsidR="009A70C9" w:rsidRPr="00EF0374">
        <w:rPr>
          <w:lang w:val="fr-BE"/>
        </w:rPr>
        <w:t>1146</w:t>
      </w:r>
      <w:r w:rsidR="00AB0C33" w:rsidRPr="00EF0374">
        <w:rPr>
          <w:lang w:val="fr-BE"/>
        </w:rPr>
        <w:t xml:space="preserve"> </w:t>
      </w:r>
      <w:r w:rsidRPr="00EF0374">
        <w:rPr>
          <w:lang w:val="fr-BE"/>
        </w:rPr>
        <w:t xml:space="preserve">dans le fichier </w:t>
      </w:r>
      <w:proofErr w:type="spellStart"/>
      <w:r w:rsidRPr="00EF0374">
        <w:rPr>
          <w:lang w:val="fr-BE"/>
        </w:rPr>
        <w:t>excel</w:t>
      </w:r>
      <w:proofErr w:type="spellEnd"/>
      <w:r w:rsidRPr="00EF0374">
        <w:rPr>
          <w:lang w:val="fr-BE"/>
        </w:rPr>
        <w:t xml:space="preserve"> signale que les gynécologues actifs en 2010, mais pas en 2011, ont pris à leur charge </w:t>
      </w:r>
      <w:r w:rsidR="009A70C9" w:rsidRPr="00EF0374">
        <w:rPr>
          <w:lang w:val="fr-BE"/>
        </w:rPr>
        <w:t xml:space="preserve">985 </w:t>
      </w:r>
      <w:r w:rsidRPr="00EF0374">
        <w:rPr>
          <w:lang w:val="fr-BE"/>
        </w:rPr>
        <w:t>accouchements en 2010, dont</w:t>
      </w:r>
      <w:r w:rsidR="009A70C9" w:rsidRPr="00EF0374">
        <w:rPr>
          <w:lang w:val="fr-BE"/>
        </w:rPr>
        <w:t xml:space="preserve"> 187 </w:t>
      </w:r>
      <w:r>
        <w:rPr>
          <w:lang w:val="fr-BE"/>
        </w:rPr>
        <w:t>césariennes</w:t>
      </w:r>
      <w:r w:rsidR="009A70C9" w:rsidRPr="00EF0374">
        <w:rPr>
          <w:lang w:val="fr-BE"/>
        </w:rPr>
        <w:t xml:space="preserve">, </w:t>
      </w:r>
      <w:r>
        <w:rPr>
          <w:lang w:val="fr-BE"/>
        </w:rPr>
        <w:t>ce qui représente un taux de césariennes pour ces prestataires de</w:t>
      </w:r>
      <w:r w:rsidR="009A70C9" w:rsidRPr="00EF0374">
        <w:rPr>
          <w:lang w:val="fr-BE"/>
        </w:rPr>
        <w:t xml:space="preserve"> 19%.</w:t>
      </w:r>
    </w:p>
    <w:p w:rsidR="009A70C9" w:rsidRPr="00EF0374" w:rsidRDefault="009A70C9" w:rsidP="009A70C9">
      <w:pPr>
        <w:spacing w:after="0"/>
        <w:rPr>
          <w:lang w:val="fr-BE"/>
        </w:rPr>
      </w:pPr>
    </w:p>
    <w:p w:rsidR="00C36459" w:rsidRPr="00FA12B0" w:rsidRDefault="009A70C9" w:rsidP="000E2BDA">
      <w:pPr>
        <w:spacing w:after="0"/>
        <w:rPr>
          <w:b/>
          <w:i/>
          <w:lang w:val="fr-BE"/>
        </w:rPr>
      </w:pPr>
      <w:r w:rsidRPr="00FA12B0">
        <w:rPr>
          <w:b/>
          <w:i/>
          <w:lang w:val="fr-BE"/>
        </w:rPr>
        <w:t>V.</w:t>
      </w:r>
      <w:r w:rsidRPr="00FA12B0">
        <w:rPr>
          <w:b/>
          <w:i/>
          <w:lang w:val="fr-BE"/>
        </w:rPr>
        <w:tab/>
      </w:r>
      <w:r w:rsidR="00FA12B0" w:rsidRPr="00FA12B0">
        <w:rPr>
          <w:b/>
          <w:i/>
          <w:lang w:val="fr-BE"/>
        </w:rPr>
        <w:t>Tableaux spécifiques</w:t>
      </w:r>
      <w:r w:rsidRPr="00FA12B0">
        <w:rPr>
          <w:b/>
          <w:i/>
          <w:lang w:val="fr-BE"/>
        </w:rPr>
        <w:t xml:space="preserve"> 15, 16 e</w:t>
      </w:r>
      <w:r w:rsidR="00FA12B0" w:rsidRPr="00FA12B0">
        <w:rPr>
          <w:b/>
          <w:i/>
          <w:lang w:val="fr-BE"/>
        </w:rPr>
        <w:t>t</w:t>
      </w:r>
      <w:r w:rsidRPr="00FA12B0">
        <w:rPr>
          <w:b/>
          <w:i/>
          <w:lang w:val="fr-BE"/>
        </w:rPr>
        <w:t xml:space="preserve"> 17 </w:t>
      </w:r>
      <w:r w:rsidR="00FA12B0" w:rsidRPr="00FA12B0">
        <w:rPr>
          <w:b/>
          <w:i/>
          <w:lang w:val="fr-BE"/>
        </w:rPr>
        <w:t>ne pouvant pas être déduits des annexes</w:t>
      </w:r>
    </w:p>
    <w:p w:rsidR="009A70C9" w:rsidRPr="00FA12B0" w:rsidRDefault="009A70C9" w:rsidP="000E2BDA">
      <w:pPr>
        <w:spacing w:after="0"/>
        <w:rPr>
          <w:b/>
          <w:i/>
          <w:lang w:val="fr-BE"/>
        </w:rPr>
      </w:pPr>
    </w:p>
    <w:p w:rsidR="009A70C9" w:rsidRPr="00FA12B0" w:rsidRDefault="009A70C9" w:rsidP="000E2BDA">
      <w:pPr>
        <w:spacing w:after="0"/>
        <w:rPr>
          <w:lang w:val="fr-BE"/>
        </w:rPr>
      </w:pPr>
      <w:r w:rsidRPr="00FA12B0">
        <w:rPr>
          <w:lang w:val="fr-BE"/>
        </w:rPr>
        <w:t>2.11</w:t>
      </w:r>
      <w:r w:rsidRPr="00FA12B0">
        <w:rPr>
          <w:lang w:val="fr-BE"/>
        </w:rPr>
        <w:tab/>
      </w:r>
      <w:r w:rsidR="00FA12B0" w:rsidRPr="00FA12B0">
        <w:rPr>
          <w:u w:val="single"/>
          <w:lang w:val="fr-BE"/>
        </w:rPr>
        <w:t>Tableaux 15 - Aperçu du volume d'activité des gynécologues en 2011</w:t>
      </w:r>
    </w:p>
    <w:p w:rsidR="009A70C9" w:rsidRPr="00FA12B0" w:rsidRDefault="009A70C9" w:rsidP="000E2BDA">
      <w:pPr>
        <w:spacing w:after="0"/>
        <w:rPr>
          <w:lang w:val="fr-BE"/>
        </w:rPr>
      </w:pPr>
    </w:p>
    <w:p w:rsidR="009A70C9" w:rsidRPr="00FA12B0" w:rsidRDefault="00FA12B0" w:rsidP="000E2BDA">
      <w:pPr>
        <w:spacing w:after="0"/>
        <w:rPr>
          <w:lang w:val="fr-BE"/>
        </w:rPr>
      </w:pPr>
      <w:r w:rsidRPr="00FA12B0">
        <w:rPr>
          <w:lang w:val="fr-BE"/>
        </w:rPr>
        <w:t xml:space="preserve">Dans ces 3 tableaux les </w:t>
      </w:r>
      <w:r w:rsidR="009A70C9" w:rsidRPr="00FA12B0">
        <w:rPr>
          <w:lang w:val="fr-BE"/>
        </w:rPr>
        <w:t>1.140 gyn</w:t>
      </w:r>
      <w:r w:rsidRPr="00FA12B0">
        <w:rPr>
          <w:lang w:val="fr-BE"/>
        </w:rPr>
        <w:t>é</w:t>
      </w:r>
      <w:r w:rsidR="009A70C9" w:rsidRPr="00FA12B0">
        <w:rPr>
          <w:lang w:val="fr-BE"/>
        </w:rPr>
        <w:t>colog</w:t>
      </w:r>
      <w:r w:rsidRPr="00FA12B0">
        <w:rPr>
          <w:lang w:val="fr-BE"/>
        </w:rPr>
        <w:t xml:space="preserve">ues actifs en 2011 sont classés sur base du nombre d’accouchements attestés en </w:t>
      </w:r>
      <w:r w:rsidR="009A70C9" w:rsidRPr="00FA12B0">
        <w:rPr>
          <w:lang w:val="fr-BE"/>
        </w:rPr>
        <w:t>2011.</w:t>
      </w:r>
    </w:p>
    <w:p w:rsidR="009A70C9" w:rsidRPr="00FA12B0" w:rsidRDefault="00FA12B0" w:rsidP="000E2BDA">
      <w:pPr>
        <w:spacing w:after="0"/>
        <w:rPr>
          <w:lang w:val="fr-BE"/>
        </w:rPr>
      </w:pPr>
      <w:r w:rsidRPr="00FA12B0">
        <w:rPr>
          <w:lang w:val="fr-BE"/>
        </w:rPr>
        <w:t xml:space="preserve">Ensuite </w:t>
      </w:r>
      <w:r w:rsidR="001930F5">
        <w:rPr>
          <w:lang w:val="fr-BE"/>
        </w:rPr>
        <w:t>détermination du</w:t>
      </w:r>
      <w:r w:rsidRPr="00FA12B0">
        <w:rPr>
          <w:lang w:val="fr-BE"/>
        </w:rPr>
        <w:t xml:space="preserve"> nombre d’accouchements par gynécologue ventilant plus ou moins les gynécologues dans les classes de </w:t>
      </w:r>
      <w:r w:rsidR="009A70C9" w:rsidRPr="00FA12B0">
        <w:rPr>
          <w:lang w:val="fr-BE"/>
        </w:rPr>
        <w:t>5%, 10%, 25%, 50%, 75%, 90% e</w:t>
      </w:r>
      <w:r>
        <w:rPr>
          <w:lang w:val="fr-BE"/>
        </w:rPr>
        <w:t>t</w:t>
      </w:r>
      <w:r w:rsidR="009A70C9" w:rsidRPr="00FA12B0">
        <w:rPr>
          <w:lang w:val="fr-BE"/>
        </w:rPr>
        <w:t xml:space="preserve"> 95% </w:t>
      </w:r>
      <w:r>
        <w:rPr>
          <w:lang w:val="fr-BE"/>
        </w:rPr>
        <w:t>du total des gynécologues actifs en</w:t>
      </w:r>
      <w:r w:rsidR="00AB0C33" w:rsidRPr="00FA12B0">
        <w:rPr>
          <w:lang w:val="fr-BE"/>
        </w:rPr>
        <w:t xml:space="preserve"> 2011</w:t>
      </w:r>
      <w:r w:rsidR="008F2575" w:rsidRPr="00FA12B0">
        <w:rPr>
          <w:lang w:val="fr-BE"/>
        </w:rPr>
        <w:t>.</w:t>
      </w:r>
    </w:p>
    <w:p w:rsidR="008F2575" w:rsidRPr="00FA12B0" w:rsidRDefault="008F2575" w:rsidP="000E2BDA">
      <w:pPr>
        <w:spacing w:after="0"/>
        <w:rPr>
          <w:lang w:val="fr-BE"/>
        </w:rPr>
      </w:pPr>
    </w:p>
    <w:p w:rsidR="001930F5" w:rsidRDefault="001930F5">
      <w:pPr>
        <w:rPr>
          <w:lang w:val="fr-BE"/>
        </w:rPr>
      </w:pPr>
      <w:r>
        <w:rPr>
          <w:lang w:val="fr-BE"/>
        </w:rPr>
        <w:br w:type="page"/>
      </w:r>
    </w:p>
    <w:p w:rsidR="008F2575" w:rsidRDefault="00FA12B0" w:rsidP="000E2BDA">
      <w:pPr>
        <w:spacing w:after="0"/>
        <w:rPr>
          <w:lang w:val="fr-BE"/>
        </w:rPr>
      </w:pPr>
      <w:r>
        <w:rPr>
          <w:lang w:val="fr-BE"/>
        </w:rPr>
        <w:lastRenderedPageBreak/>
        <w:t>Pour chaque classe de gynécologues, les tableaux donnent</w:t>
      </w:r>
    </w:p>
    <w:p w:rsidR="001930F5" w:rsidRPr="00FA12B0" w:rsidRDefault="001930F5" w:rsidP="000E2BDA">
      <w:pPr>
        <w:spacing w:after="0"/>
        <w:rPr>
          <w:lang w:val="fr-BE"/>
        </w:rPr>
      </w:pPr>
    </w:p>
    <w:p w:rsidR="008F2575" w:rsidRPr="00FA12B0" w:rsidRDefault="00FA12B0" w:rsidP="008F2575">
      <w:pPr>
        <w:pStyle w:val="ListParagraph"/>
        <w:numPr>
          <w:ilvl w:val="0"/>
          <w:numId w:val="24"/>
        </w:numPr>
        <w:spacing w:after="0"/>
        <w:rPr>
          <w:lang w:val="fr-BE"/>
        </w:rPr>
      </w:pPr>
      <w:r w:rsidRPr="00FA12B0">
        <w:rPr>
          <w:lang w:val="fr-BE"/>
        </w:rPr>
        <w:t>l’</w:t>
      </w:r>
      <w:r w:rsidR="008F2575" w:rsidRPr="00FA12B0">
        <w:rPr>
          <w:lang w:val="fr-BE"/>
        </w:rPr>
        <w:t>interval</w:t>
      </w:r>
      <w:r w:rsidRPr="00FA12B0">
        <w:rPr>
          <w:lang w:val="fr-BE"/>
        </w:rPr>
        <w:t>le du nombre d’accouchements par an</w:t>
      </w:r>
      <w:r w:rsidR="001930F5">
        <w:rPr>
          <w:lang w:val="fr-BE"/>
        </w:rPr>
        <w:t xml:space="preserve"> dans laquelle son volume d’accouchements annuel tombe</w:t>
      </w:r>
      <w:r w:rsidR="008F2575" w:rsidRPr="00FA12B0">
        <w:rPr>
          <w:lang w:val="fr-BE"/>
        </w:rPr>
        <w:t>,</w:t>
      </w:r>
    </w:p>
    <w:p w:rsidR="008F2575" w:rsidRPr="00FA12B0" w:rsidRDefault="00FA12B0" w:rsidP="008F2575">
      <w:pPr>
        <w:pStyle w:val="ListParagraph"/>
        <w:numPr>
          <w:ilvl w:val="0"/>
          <w:numId w:val="24"/>
        </w:numPr>
        <w:spacing w:after="0"/>
        <w:rPr>
          <w:lang w:val="fr-BE"/>
        </w:rPr>
      </w:pPr>
      <w:r w:rsidRPr="00FA12B0">
        <w:rPr>
          <w:lang w:val="fr-BE"/>
        </w:rPr>
        <w:t>le nombre de gynécologues dans cette c</w:t>
      </w:r>
      <w:r w:rsidR="008F2575" w:rsidRPr="00FA12B0">
        <w:rPr>
          <w:lang w:val="fr-BE"/>
        </w:rPr>
        <w:t>lasse</w:t>
      </w:r>
    </w:p>
    <w:p w:rsidR="008F2575" w:rsidRPr="00070DE4" w:rsidRDefault="00FA12B0" w:rsidP="008F2575">
      <w:pPr>
        <w:pStyle w:val="ListParagraph"/>
        <w:numPr>
          <w:ilvl w:val="0"/>
          <w:numId w:val="24"/>
        </w:numPr>
        <w:spacing w:after="0"/>
        <w:rPr>
          <w:lang w:val="fr-BE"/>
        </w:rPr>
      </w:pPr>
      <w:r w:rsidRPr="00070DE4">
        <w:rPr>
          <w:lang w:val="fr-BE"/>
        </w:rPr>
        <w:t>le nombre moyen d’accouchements par gynécologue dans cette classe</w:t>
      </w:r>
    </w:p>
    <w:p w:rsidR="008F2575" w:rsidRPr="00070DE4" w:rsidRDefault="00FA12B0" w:rsidP="008F2575">
      <w:pPr>
        <w:pStyle w:val="ListParagraph"/>
        <w:numPr>
          <w:ilvl w:val="0"/>
          <w:numId w:val="24"/>
        </w:numPr>
        <w:spacing w:after="0"/>
        <w:rPr>
          <w:lang w:val="fr-BE"/>
        </w:rPr>
      </w:pPr>
      <w:r w:rsidRPr="00070DE4">
        <w:rPr>
          <w:lang w:val="fr-BE"/>
        </w:rPr>
        <w:t>le nombre total d’accouchements dans cette classe</w:t>
      </w:r>
    </w:p>
    <w:p w:rsidR="008F2575" w:rsidRPr="00070DE4" w:rsidRDefault="00FA12B0" w:rsidP="008F2575">
      <w:pPr>
        <w:pStyle w:val="ListParagraph"/>
        <w:numPr>
          <w:ilvl w:val="0"/>
          <w:numId w:val="24"/>
        </w:numPr>
        <w:spacing w:after="0"/>
        <w:rPr>
          <w:lang w:val="fr-BE"/>
        </w:rPr>
      </w:pPr>
      <w:r w:rsidRPr="00070DE4">
        <w:rPr>
          <w:lang w:val="fr-BE"/>
        </w:rPr>
        <w:t>le nombre total de césariennes dans cette classe</w:t>
      </w:r>
    </w:p>
    <w:p w:rsidR="008F2575" w:rsidRPr="00070DE4" w:rsidRDefault="00FA12B0" w:rsidP="008F2575">
      <w:pPr>
        <w:pStyle w:val="ListParagraph"/>
        <w:numPr>
          <w:ilvl w:val="0"/>
          <w:numId w:val="24"/>
        </w:numPr>
        <w:spacing w:after="0"/>
        <w:rPr>
          <w:lang w:val="fr-BE"/>
        </w:rPr>
      </w:pPr>
      <w:r w:rsidRPr="00070DE4">
        <w:rPr>
          <w:lang w:val="fr-BE"/>
        </w:rPr>
        <w:t>le taux de césariennes dans cette classe</w:t>
      </w:r>
    </w:p>
    <w:p w:rsidR="008F2575" w:rsidRPr="00070DE4" w:rsidRDefault="00FA12B0" w:rsidP="008F2575">
      <w:pPr>
        <w:pStyle w:val="ListParagraph"/>
        <w:numPr>
          <w:ilvl w:val="0"/>
          <w:numId w:val="24"/>
        </w:numPr>
        <w:spacing w:after="0"/>
        <w:rPr>
          <w:lang w:val="fr-BE"/>
        </w:rPr>
      </w:pPr>
      <w:r w:rsidRPr="00070DE4">
        <w:rPr>
          <w:lang w:val="fr-BE"/>
        </w:rPr>
        <w:t>la quote-part des accouchements que ce groupe de gynécologues représente dans le total des accouchements de 2011</w:t>
      </w:r>
    </w:p>
    <w:p w:rsidR="008F2575" w:rsidRPr="00070DE4" w:rsidRDefault="00FA12B0" w:rsidP="008F2575">
      <w:pPr>
        <w:pStyle w:val="ListParagraph"/>
        <w:numPr>
          <w:ilvl w:val="0"/>
          <w:numId w:val="24"/>
        </w:numPr>
        <w:spacing w:after="0"/>
        <w:rPr>
          <w:lang w:val="fr-BE"/>
        </w:rPr>
      </w:pPr>
      <w:r w:rsidRPr="00070DE4">
        <w:rPr>
          <w:lang w:val="fr-BE"/>
        </w:rPr>
        <w:t>la quote-part des gynécologues que ce groupe de gynécologues représente dans le total des gynécologues en 2011</w:t>
      </w:r>
    </w:p>
    <w:p w:rsidR="008F2575" w:rsidRPr="009B69C8" w:rsidRDefault="00FA12B0" w:rsidP="008F2575">
      <w:pPr>
        <w:pStyle w:val="ListParagraph"/>
        <w:numPr>
          <w:ilvl w:val="0"/>
          <w:numId w:val="24"/>
        </w:numPr>
        <w:spacing w:after="0"/>
        <w:rPr>
          <w:lang w:val="fr-BE"/>
        </w:rPr>
      </w:pPr>
      <w:r w:rsidRPr="009B69C8">
        <w:rPr>
          <w:lang w:val="fr-BE"/>
        </w:rPr>
        <w:t xml:space="preserve">les </w:t>
      </w:r>
      <w:proofErr w:type="spellStart"/>
      <w:r w:rsidRPr="009B69C8">
        <w:rPr>
          <w:lang w:val="fr-BE"/>
        </w:rPr>
        <w:t>quote-parts</w:t>
      </w:r>
      <w:proofErr w:type="spellEnd"/>
      <w:r w:rsidRPr="009B69C8">
        <w:rPr>
          <w:lang w:val="fr-BE"/>
        </w:rPr>
        <w:t xml:space="preserve"> des accouchements et des gynécologues cumulés de cette classe de gynécologues avec les classes inférieures en termes d’accouchements attestés</w:t>
      </w:r>
      <w:r w:rsidR="008F2575" w:rsidRPr="009B69C8">
        <w:rPr>
          <w:lang w:val="fr-BE"/>
        </w:rPr>
        <w:t>.</w:t>
      </w:r>
    </w:p>
    <w:p w:rsidR="008F2575" w:rsidRPr="009B69C8" w:rsidRDefault="008F2575" w:rsidP="008F2575">
      <w:pPr>
        <w:spacing w:after="0"/>
        <w:rPr>
          <w:lang w:val="fr-BE"/>
        </w:rPr>
      </w:pPr>
    </w:p>
    <w:p w:rsidR="008F2575" w:rsidRPr="009B69C8" w:rsidRDefault="009B69C8" w:rsidP="008F2575">
      <w:pPr>
        <w:spacing w:after="0"/>
        <w:rPr>
          <w:lang w:val="fr-BE"/>
        </w:rPr>
      </w:pPr>
      <w:r w:rsidRPr="009B69C8">
        <w:rPr>
          <w:lang w:val="fr-BE"/>
        </w:rPr>
        <w:t>Le tableau</w:t>
      </w:r>
      <w:r w:rsidR="008F2575" w:rsidRPr="009B69C8">
        <w:rPr>
          <w:lang w:val="fr-BE"/>
        </w:rPr>
        <w:t xml:space="preserve"> 15.1 </w:t>
      </w:r>
      <w:r w:rsidRPr="009B69C8">
        <w:rPr>
          <w:lang w:val="fr-BE"/>
        </w:rPr>
        <w:t>reprend cette information pour tous les gynécologues, les tableaux 15.2 et 15.3 reprennent l’information similaire, mais alors seulement pour les gynécologues actifs dans une seule maternité (15.2) ou pour les gynécologues actifs dans plusieurs maternités (15.3)</w:t>
      </w:r>
      <w:r>
        <w:rPr>
          <w:lang w:val="fr-BE"/>
        </w:rPr>
        <w:t xml:space="preserve"> et à chaque fois pour les même classes (de nombre d’accouchements sur base annuelle)</w:t>
      </w:r>
      <w:r w:rsidR="008F2575" w:rsidRPr="009B69C8">
        <w:rPr>
          <w:lang w:val="fr-BE"/>
        </w:rPr>
        <w:t>.</w:t>
      </w:r>
    </w:p>
    <w:p w:rsidR="008F2575" w:rsidRPr="009B69C8" w:rsidRDefault="008F2575" w:rsidP="008F2575">
      <w:pPr>
        <w:spacing w:after="0"/>
        <w:rPr>
          <w:lang w:val="fr-BE"/>
        </w:rPr>
      </w:pPr>
    </w:p>
    <w:p w:rsidR="008F2575" w:rsidRPr="009B69C8" w:rsidRDefault="009B69C8" w:rsidP="008F2575">
      <w:pPr>
        <w:spacing w:after="0"/>
        <w:rPr>
          <w:lang w:val="fr-BE"/>
        </w:rPr>
      </w:pPr>
      <w:r w:rsidRPr="009B69C8">
        <w:rPr>
          <w:lang w:val="fr-BE"/>
        </w:rPr>
        <w:t xml:space="preserve">La ligne 8 du tableau </w:t>
      </w:r>
      <w:r w:rsidR="008F2575" w:rsidRPr="009B69C8">
        <w:rPr>
          <w:lang w:val="fr-BE"/>
        </w:rPr>
        <w:t xml:space="preserve">15.1 </w:t>
      </w:r>
      <w:r w:rsidRPr="009B69C8">
        <w:rPr>
          <w:lang w:val="fr-BE"/>
        </w:rPr>
        <w:t xml:space="preserve">doit donc </w:t>
      </w:r>
      <w:r>
        <w:rPr>
          <w:lang w:val="fr-BE"/>
        </w:rPr>
        <w:t>être lue de la façon suivante :</w:t>
      </w:r>
    </w:p>
    <w:p w:rsidR="008F2575" w:rsidRDefault="00246209" w:rsidP="008F2575">
      <w:pPr>
        <w:spacing w:after="0"/>
        <w:rPr>
          <w:lang w:val="nl-BE"/>
        </w:rPr>
      </w:pPr>
      <w:r w:rsidRPr="00246209">
        <w:rPr>
          <w:noProof/>
        </w:rPr>
        <w:drawing>
          <wp:inline distT="0" distB="0" distL="0" distR="0" wp14:anchorId="7CB9C3CF" wp14:editId="7D99D19C">
            <wp:extent cx="5943600" cy="175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175260"/>
                    </a:xfrm>
                    <a:prstGeom prst="rect">
                      <a:avLst/>
                    </a:prstGeom>
                  </pic:spPr>
                </pic:pic>
              </a:graphicData>
            </a:graphic>
          </wp:inline>
        </w:drawing>
      </w:r>
    </w:p>
    <w:p w:rsidR="00246209" w:rsidRPr="00AD4ED6" w:rsidRDefault="009B69C8" w:rsidP="008F2575">
      <w:pPr>
        <w:spacing w:after="0"/>
        <w:rPr>
          <w:lang w:val="fr-BE"/>
        </w:rPr>
      </w:pPr>
      <w:r w:rsidRPr="009B69C8">
        <w:rPr>
          <w:lang w:val="fr-BE"/>
        </w:rPr>
        <w:t>Les 55 gynécologues attestant entre 3 et maximum 7 accouchements sur l’année 2011, le font en moyenne 4,6 par an. Ensemble ils pratiquent 254 accouchements en 2011</w:t>
      </w:r>
      <w:r>
        <w:rPr>
          <w:lang w:val="fr-BE"/>
        </w:rPr>
        <w:t>, soit 0,2% du total des accouchements réalisés en 2011.</w:t>
      </w:r>
      <w:r w:rsidRPr="009B69C8">
        <w:rPr>
          <w:lang w:val="fr-BE"/>
        </w:rPr>
        <w:t xml:space="preserve"> 77 </w:t>
      </w:r>
      <w:r>
        <w:rPr>
          <w:lang w:val="fr-BE"/>
        </w:rPr>
        <w:t xml:space="preserve">sont </w:t>
      </w:r>
      <w:r w:rsidRPr="009B69C8">
        <w:rPr>
          <w:lang w:val="fr-BE"/>
        </w:rPr>
        <w:t>effectués par le biais d’une césarienne, ce qui représente un taux de césariennes pour cette classe de 30,3%.</w:t>
      </w:r>
      <w:r>
        <w:rPr>
          <w:lang w:val="fr-BE"/>
        </w:rPr>
        <w:t xml:space="preserve"> </w:t>
      </w:r>
      <w:r w:rsidRPr="00AD4ED6">
        <w:rPr>
          <w:lang w:val="fr-BE"/>
        </w:rPr>
        <w:t>Ces 55 gynécologues</w:t>
      </w:r>
      <w:r w:rsidR="00246209" w:rsidRPr="00AD4ED6">
        <w:rPr>
          <w:lang w:val="fr-BE"/>
        </w:rPr>
        <w:t xml:space="preserve"> </w:t>
      </w:r>
      <w:r w:rsidRPr="00AD4ED6">
        <w:rPr>
          <w:lang w:val="fr-BE"/>
        </w:rPr>
        <w:t xml:space="preserve">représentent 4,8% des prestataires actifs en 2011 ayant attesté </w:t>
      </w:r>
      <w:r w:rsidR="001930F5">
        <w:rPr>
          <w:lang w:val="fr-BE"/>
        </w:rPr>
        <w:t xml:space="preserve">au moins </w:t>
      </w:r>
      <w:r w:rsidRPr="00AD4ED6">
        <w:rPr>
          <w:lang w:val="fr-BE"/>
        </w:rPr>
        <w:t>un accouchement</w:t>
      </w:r>
      <w:r w:rsidR="00AD4ED6" w:rsidRPr="00AD4ED6">
        <w:rPr>
          <w:lang w:val="fr-BE"/>
        </w:rPr>
        <w:t xml:space="preserve">. </w:t>
      </w:r>
      <w:r w:rsidR="00AD4ED6">
        <w:rPr>
          <w:lang w:val="fr-BE"/>
        </w:rPr>
        <w:t>Le groupe total de gynécologues qui ont attesté entre 1 et maximum 7 accouchements en 2011, représentent 10,6% des prestataires actifs et 0,3% du total des accouchements attestés en 2011.</w:t>
      </w:r>
    </w:p>
    <w:p w:rsidR="00246209" w:rsidRPr="00AD4ED6" w:rsidRDefault="00246209" w:rsidP="00246209">
      <w:pPr>
        <w:rPr>
          <w:lang w:val="fr-BE"/>
        </w:rPr>
      </w:pPr>
    </w:p>
    <w:p w:rsidR="008F2575" w:rsidRPr="00AD4ED6" w:rsidRDefault="00246209" w:rsidP="008F2575">
      <w:pPr>
        <w:spacing w:after="0"/>
        <w:rPr>
          <w:lang w:val="fr-BE"/>
        </w:rPr>
      </w:pPr>
      <w:r w:rsidRPr="00AD4ED6">
        <w:rPr>
          <w:lang w:val="fr-BE"/>
        </w:rPr>
        <w:t>2.12</w:t>
      </w:r>
      <w:r w:rsidRPr="00AD4ED6">
        <w:rPr>
          <w:lang w:val="fr-BE"/>
        </w:rPr>
        <w:tab/>
      </w:r>
      <w:r w:rsidR="00AD4ED6" w:rsidRPr="00AD4ED6">
        <w:rPr>
          <w:u w:val="single"/>
          <w:lang w:val="fr-BE"/>
        </w:rPr>
        <w:t>Tableaux 16 - Impact mono-multi à Edith Cavell en 2011</w:t>
      </w:r>
    </w:p>
    <w:p w:rsidR="00246209" w:rsidRPr="00AD4ED6" w:rsidRDefault="00246209" w:rsidP="008F2575">
      <w:pPr>
        <w:spacing w:after="0"/>
        <w:rPr>
          <w:lang w:val="fr-BE"/>
        </w:rPr>
      </w:pPr>
    </w:p>
    <w:p w:rsidR="00246209" w:rsidRPr="00AD4ED6" w:rsidRDefault="00AD4ED6" w:rsidP="008F2575">
      <w:pPr>
        <w:spacing w:after="0"/>
        <w:rPr>
          <w:lang w:val="fr-BE"/>
        </w:rPr>
      </w:pPr>
      <w:r w:rsidRPr="00AD4ED6">
        <w:rPr>
          <w:lang w:val="fr-BE"/>
        </w:rPr>
        <w:t xml:space="preserve">Le tableau 16 illustre avec l’exemple d’Edith Cavell l’impact de la distorsion dans les chiffres opérée par le fait de ne prendre en compte </w:t>
      </w:r>
      <w:r>
        <w:rPr>
          <w:lang w:val="fr-BE"/>
        </w:rPr>
        <w:t xml:space="preserve">que </w:t>
      </w:r>
      <w:r w:rsidRPr="00AD4ED6">
        <w:rPr>
          <w:lang w:val="fr-BE"/>
        </w:rPr>
        <w:t>l’activité d’une seule maternité pour des prestat</w:t>
      </w:r>
      <w:r>
        <w:rPr>
          <w:lang w:val="fr-BE"/>
        </w:rPr>
        <w:t>aires actifs dans plusieurs maternités</w:t>
      </w:r>
      <w:r w:rsidR="00246209" w:rsidRPr="00AD4ED6">
        <w:rPr>
          <w:lang w:val="fr-BE"/>
        </w:rPr>
        <w:t>.</w:t>
      </w:r>
    </w:p>
    <w:p w:rsidR="00246209" w:rsidRPr="00AD4ED6" w:rsidRDefault="00246209" w:rsidP="008F2575">
      <w:pPr>
        <w:spacing w:after="0"/>
        <w:rPr>
          <w:lang w:val="fr-BE"/>
        </w:rPr>
      </w:pPr>
    </w:p>
    <w:p w:rsidR="00246209" w:rsidRPr="006E553B" w:rsidRDefault="00AD4ED6" w:rsidP="008F2575">
      <w:pPr>
        <w:spacing w:after="0"/>
        <w:rPr>
          <w:lang w:val="fr-BE"/>
        </w:rPr>
      </w:pPr>
      <w:r w:rsidRPr="006E553B">
        <w:rPr>
          <w:lang w:val="fr-BE"/>
        </w:rPr>
        <w:t xml:space="preserve">L’exemple du gynécologue </w:t>
      </w:r>
      <w:r w:rsidR="00246209" w:rsidRPr="006E553B">
        <w:rPr>
          <w:lang w:val="fr-BE"/>
        </w:rPr>
        <w:t xml:space="preserve">‘Multi 4’ </w:t>
      </w:r>
      <w:r w:rsidRPr="006E553B">
        <w:rPr>
          <w:lang w:val="fr-BE"/>
        </w:rPr>
        <w:t>actif dans 3 maternités, indique le taux marginal de ses accouchements réalisés à Cavell (10 sur 153</w:t>
      </w:r>
      <w:r w:rsidR="006E553B" w:rsidRPr="006E553B">
        <w:rPr>
          <w:lang w:val="fr-BE"/>
        </w:rPr>
        <w:t>), avec un taux plus important de césariennes (30% contre +/- 21%), mais pour une population plus âgée à Cavell (34,4 ans) et une proportion de bén</w:t>
      </w:r>
      <w:r w:rsidR="001930F5">
        <w:rPr>
          <w:lang w:val="fr-BE"/>
        </w:rPr>
        <w:t>é</w:t>
      </w:r>
      <w:r w:rsidR="006E553B" w:rsidRPr="006E553B">
        <w:rPr>
          <w:lang w:val="fr-BE"/>
        </w:rPr>
        <w:t>ficiaires de l’intervention majorée nettement inférieur</w:t>
      </w:r>
      <w:r w:rsidR="0054004F">
        <w:rPr>
          <w:lang w:val="fr-BE"/>
        </w:rPr>
        <w:t>e</w:t>
      </w:r>
      <w:bookmarkStart w:id="0" w:name="_GoBack"/>
      <w:bookmarkEnd w:id="0"/>
      <w:r w:rsidR="006E553B" w:rsidRPr="006E553B">
        <w:rPr>
          <w:lang w:val="fr-BE"/>
        </w:rPr>
        <w:t xml:space="preserve"> (10% vs +/- 22%)</w:t>
      </w:r>
    </w:p>
    <w:p w:rsidR="00246209" w:rsidRDefault="006E553B" w:rsidP="008F2575">
      <w:pPr>
        <w:spacing w:after="0"/>
        <w:rPr>
          <w:lang w:val="nl-BE"/>
        </w:rPr>
      </w:pPr>
      <w:r w:rsidRPr="006E553B">
        <w:rPr>
          <w:noProof/>
        </w:rPr>
        <w:lastRenderedPageBreak/>
        <w:drawing>
          <wp:inline distT="0" distB="0" distL="0" distR="0" wp14:anchorId="6C232663" wp14:editId="1B848A2B">
            <wp:extent cx="5943600" cy="43497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34975"/>
                    </a:xfrm>
                    <a:prstGeom prst="rect">
                      <a:avLst/>
                    </a:prstGeom>
                  </pic:spPr>
                </pic:pic>
              </a:graphicData>
            </a:graphic>
          </wp:inline>
        </w:drawing>
      </w:r>
    </w:p>
    <w:p w:rsidR="00EC1077" w:rsidRDefault="00EC1077" w:rsidP="008F2575">
      <w:pPr>
        <w:spacing w:after="0"/>
        <w:rPr>
          <w:lang w:val="nl-BE"/>
        </w:rPr>
      </w:pPr>
    </w:p>
    <w:p w:rsidR="00EC1077" w:rsidRPr="006E553B" w:rsidRDefault="00EC1077" w:rsidP="008F2575">
      <w:pPr>
        <w:spacing w:after="0"/>
        <w:rPr>
          <w:u w:val="single"/>
          <w:lang w:val="fr-BE"/>
        </w:rPr>
      </w:pPr>
      <w:r w:rsidRPr="006E553B">
        <w:rPr>
          <w:lang w:val="fr-BE"/>
        </w:rPr>
        <w:t>2.13</w:t>
      </w:r>
      <w:r w:rsidRPr="006E553B">
        <w:rPr>
          <w:lang w:val="fr-BE"/>
        </w:rPr>
        <w:tab/>
      </w:r>
      <w:r w:rsidR="006E553B" w:rsidRPr="006E553B">
        <w:rPr>
          <w:u w:val="single"/>
          <w:lang w:val="fr-BE"/>
        </w:rPr>
        <w:t>Tableaux 17 - Volume d'accouchement 2008-2011 - Taux moyen de césariennes</w:t>
      </w:r>
    </w:p>
    <w:p w:rsidR="00EC1077" w:rsidRPr="006E553B" w:rsidRDefault="00EC1077" w:rsidP="008F2575">
      <w:pPr>
        <w:spacing w:after="0"/>
        <w:rPr>
          <w:u w:val="single"/>
          <w:lang w:val="fr-BE"/>
        </w:rPr>
      </w:pPr>
    </w:p>
    <w:p w:rsidR="00EC1077" w:rsidRPr="006E553B" w:rsidRDefault="006E553B" w:rsidP="008F2575">
      <w:pPr>
        <w:spacing w:after="0"/>
        <w:rPr>
          <w:lang w:val="fr-BE"/>
        </w:rPr>
      </w:pPr>
      <w:r w:rsidRPr="006E553B">
        <w:rPr>
          <w:lang w:val="fr-BE"/>
        </w:rPr>
        <w:t xml:space="preserve">Le tableau </w:t>
      </w:r>
      <w:r w:rsidR="00EC1077" w:rsidRPr="006E553B">
        <w:rPr>
          <w:lang w:val="fr-BE"/>
        </w:rPr>
        <w:t xml:space="preserve">17.1 </w:t>
      </w:r>
      <w:r w:rsidRPr="006E553B">
        <w:rPr>
          <w:lang w:val="fr-BE"/>
        </w:rPr>
        <w:t xml:space="preserve">donne un aperçu de la diminution (accélérée) du nombre de gynécologues actifs entre </w:t>
      </w:r>
      <w:r w:rsidR="00EC1077" w:rsidRPr="006E553B">
        <w:rPr>
          <w:lang w:val="fr-BE"/>
        </w:rPr>
        <w:t>2008 e</w:t>
      </w:r>
      <w:r>
        <w:rPr>
          <w:lang w:val="fr-BE"/>
        </w:rPr>
        <w:t>t</w:t>
      </w:r>
      <w:r w:rsidR="00EC1077" w:rsidRPr="006E553B">
        <w:rPr>
          <w:lang w:val="fr-BE"/>
        </w:rPr>
        <w:t xml:space="preserve"> 2011, </w:t>
      </w:r>
      <w:r>
        <w:rPr>
          <w:lang w:val="fr-BE"/>
        </w:rPr>
        <w:t>période pendant laquelle on constate une baisse globale de 3,8% des prestataires, mais qui s’accentue surtou</w:t>
      </w:r>
      <w:r w:rsidR="001930F5">
        <w:rPr>
          <w:lang w:val="fr-BE"/>
        </w:rPr>
        <w:t>t</w:t>
      </w:r>
      <w:r>
        <w:rPr>
          <w:lang w:val="fr-BE"/>
        </w:rPr>
        <w:t xml:space="preserve"> entre 2010 et 2011</w:t>
      </w:r>
      <w:r w:rsidR="00EC1077" w:rsidRPr="006E553B">
        <w:rPr>
          <w:lang w:val="fr-BE"/>
        </w:rPr>
        <w:t>.</w:t>
      </w:r>
    </w:p>
    <w:p w:rsidR="00EC1077" w:rsidRPr="006E553B" w:rsidRDefault="00EC1077" w:rsidP="008F2575">
      <w:pPr>
        <w:spacing w:after="0"/>
        <w:rPr>
          <w:lang w:val="fr-BE"/>
        </w:rPr>
      </w:pPr>
    </w:p>
    <w:p w:rsidR="00EC1077" w:rsidRPr="006E553B" w:rsidRDefault="006E553B" w:rsidP="008F2575">
      <w:pPr>
        <w:spacing w:after="0"/>
        <w:rPr>
          <w:lang w:val="fr-BE"/>
        </w:rPr>
      </w:pPr>
      <w:r w:rsidRPr="006E553B">
        <w:rPr>
          <w:lang w:val="fr-BE"/>
        </w:rPr>
        <w:t xml:space="preserve">Les tableaux </w:t>
      </w:r>
      <w:r w:rsidR="00EC1077" w:rsidRPr="006E553B">
        <w:rPr>
          <w:lang w:val="fr-BE"/>
        </w:rPr>
        <w:t>17.2 e</w:t>
      </w:r>
      <w:r w:rsidRPr="006E553B">
        <w:rPr>
          <w:lang w:val="fr-BE"/>
        </w:rPr>
        <w:t>t</w:t>
      </w:r>
      <w:r w:rsidR="00EC1077" w:rsidRPr="006E553B">
        <w:rPr>
          <w:lang w:val="fr-BE"/>
        </w:rPr>
        <w:t xml:space="preserve"> 17.3 </w:t>
      </w:r>
      <w:r w:rsidRPr="006E553B">
        <w:rPr>
          <w:lang w:val="fr-BE"/>
        </w:rPr>
        <w:t xml:space="preserve">donnent un aperçu du volume global d’accouchements attestés entre 2008 et 2011 et distribue les gynécologues </w:t>
      </w:r>
      <w:r>
        <w:rPr>
          <w:lang w:val="fr-BE"/>
        </w:rPr>
        <w:t>en 10 groupes représentant chacun plus ou moins 10% des accouchements</w:t>
      </w:r>
      <w:r w:rsidR="00EC1077" w:rsidRPr="006E553B">
        <w:rPr>
          <w:lang w:val="fr-BE"/>
        </w:rPr>
        <w:t xml:space="preserve">. </w:t>
      </w:r>
      <w:r w:rsidRPr="006E553B">
        <w:rPr>
          <w:lang w:val="fr-BE"/>
        </w:rPr>
        <w:t>D’une part il s’agit de gynécologues actifs en 2011 (tableau 17.2</w:t>
      </w:r>
      <w:r w:rsidR="00B01931">
        <w:rPr>
          <w:lang w:val="fr-BE"/>
        </w:rPr>
        <w:t xml:space="preserve"> – 1140 gynécologues</w:t>
      </w:r>
      <w:r w:rsidRPr="006E553B">
        <w:rPr>
          <w:lang w:val="fr-BE"/>
        </w:rPr>
        <w:t>), d’autre part les gynécologues qui au cours de la période 2008-2011 ont attesté au moins un accouchement chaque année</w:t>
      </w:r>
      <w:r w:rsidR="00B01931">
        <w:rPr>
          <w:lang w:val="fr-BE"/>
        </w:rPr>
        <w:t xml:space="preserve"> (tableau 17.3 – 979 gynécologues)</w:t>
      </w:r>
      <w:r w:rsidR="00EC1077" w:rsidRPr="006E553B">
        <w:rPr>
          <w:lang w:val="fr-BE"/>
        </w:rPr>
        <w:t>.</w:t>
      </w:r>
    </w:p>
    <w:p w:rsidR="00EC1077" w:rsidRPr="00070DE4" w:rsidRDefault="00EC1077" w:rsidP="008F2575">
      <w:pPr>
        <w:spacing w:after="0"/>
        <w:rPr>
          <w:lang w:val="fr-BE"/>
        </w:rPr>
      </w:pPr>
    </w:p>
    <w:p w:rsidR="00B01931" w:rsidRPr="00070DE4" w:rsidRDefault="00B01931" w:rsidP="008F2575">
      <w:pPr>
        <w:spacing w:after="0"/>
        <w:rPr>
          <w:lang w:val="fr-BE"/>
        </w:rPr>
      </w:pPr>
      <w:r w:rsidRPr="00B01931">
        <w:rPr>
          <w:noProof/>
        </w:rPr>
        <w:drawing>
          <wp:inline distT="0" distB="0" distL="0" distR="0" wp14:anchorId="389F78DA" wp14:editId="58EC1AB6">
            <wp:extent cx="4266667" cy="971429"/>
            <wp:effectExtent l="0" t="0" r="63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266667" cy="971429"/>
                    </a:xfrm>
                    <a:prstGeom prst="rect">
                      <a:avLst/>
                    </a:prstGeom>
                  </pic:spPr>
                </pic:pic>
              </a:graphicData>
            </a:graphic>
          </wp:inline>
        </w:drawing>
      </w:r>
      <w:r w:rsidRPr="00070DE4">
        <w:rPr>
          <w:lang w:val="fr-BE"/>
        </w:rPr>
        <w:t xml:space="preserve"> </w:t>
      </w:r>
    </w:p>
    <w:p w:rsidR="00B01931" w:rsidRPr="00070DE4" w:rsidRDefault="00B01931" w:rsidP="008F2575">
      <w:pPr>
        <w:spacing w:after="0"/>
        <w:rPr>
          <w:lang w:val="fr-BE"/>
        </w:rPr>
      </w:pPr>
    </w:p>
    <w:p w:rsidR="00AB0C33" w:rsidRPr="00B01931" w:rsidRDefault="00B01931" w:rsidP="008F2575">
      <w:pPr>
        <w:spacing w:after="0"/>
        <w:rPr>
          <w:lang w:val="fr-BE"/>
        </w:rPr>
      </w:pPr>
      <w:r w:rsidRPr="00B01931">
        <w:rPr>
          <w:lang w:val="fr-BE"/>
        </w:rPr>
        <w:t xml:space="preserve">On constate ainsi (tableau </w:t>
      </w:r>
      <w:r w:rsidR="00AB0C33" w:rsidRPr="00B01931">
        <w:rPr>
          <w:lang w:val="fr-BE"/>
        </w:rPr>
        <w:t xml:space="preserve">17.3) </w:t>
      </w:r>
      <w:r w:rsidRPr="00B01931">
        <w:rPr>
          <w:lang w:val="fr-BE"/>
        </w:rPr>
        <w:t>que les 27 gynécologues qui étaient actifs au cours de ces 4 années et qui ont attesté le plus grand nombre cumulé d’accouchements, représenten</w:t>
      </w:r>
      <w:r>
        <w:rPr>
          <w:lang w:val="fr-BE"/>
        </w:rPr>
        <w:t>t</w:t>
      </w:r>
      <w:r w:rsidRPr="00B01931">
        <w:rPr>
          <w:lang w:val="fr-BE"/>
        </w:rPr>
        <w:t xml:space="preserve"> </w:t>
      </w:r>
      <w:r w:rsidR="00AB0C33" w:rsidRPr="00B01931">
        <w:rPr>
          <w:lang w:val="fr-BE"/>
        </w:rPr>
        <w:t xml:space="preserve">2,8% </w:t>
      </w:r>
      <w:r>
        <w:rPr>
          <w:lang w:val="fr-BE"/>
        </w:rPr>
        <w:t>des</w:t>
      </w:r>
      <w:r w:rsidR="00AB0C33" w:rsidRPr="00B01931">
        <w:rPr>
          <w:lang w:val="fr-BE"/>
        </w:rPr>
        <w:t xml:space="preserve"> 979 gyn</w:t>
      </w:r>
      <w:r>
        <w:rPr>
          <w:lang w:val="fr-BE"/>
        </w:rPr>
        <w:t>é</w:t>
      </w:r>
      <w:r w:rsidR="00AB0C33" w:rsidRPr="00B01931">
        <w:rPr>
          <w:lang w:val="fr-BE"/>
        </w:rPr>
        <w:t>colog</w:t>
      </w:r>
      <w:r>
        <w:rPr>
          <w:lang w:val="fr-BE"/>
        </w:rPr>
        <w:t>ues</w:t>
      </w:r>
      <w:r w:rsidR="00AB0C33" w:rsidRPr="00B01931">
        <w:rPr>
          <w:lang w:val="fr-BE"/>
        </w:rPr>
        <w:t xml:space="preserve"> </w:t>
      </w:r>
      <w:r>
        <w:rPr>
          <w:lang w:val="fr-BE"/>
        </w:rPr>
        <w:t xml:space="preserve">actifs au cours de ces 4 années. Ensemble, ils ont attesté 45.091 accouchements, dont </w:t>
      </w:r>
      <w:r w:rsidR="00AB0C33" w:rsidRPr="00B01931">
        <w:rPr>
          <w:lang w:val="fr-BE"/>
        </w:rPr>
        <w:t xml:space="preserve">8.184 </w:t>
      </w:r>
      <w:r w:rsidRPr="00B01931">
        <w:rPr>
          <w:lang w:val="fr-BE"/>
        </w:rPr>
        <w:t>césariennes</w:t>
      </w:r>
      <w:r w:rsidR="00AB0C33" w:rsidRPr="00B01931">
        <w:rPr>
          <w:lang w:val="fr-BE"/>
        </w:rPr>
        <w:t xml:space="preserve">, </w:t>
      </w:r>
      <w:r w:rsidRPr="00B01931">
        <w:rPr>
          <w:lang w:val="fr-BE"/>
        </w:rPr>
        <w:t>soit</w:t>
      </w:r>
      <w:r w:rsidR="00AB0C33" w:rsidRPr="00B01931">
        <w:rPr>
          <w:lang w:val="fr-BE"/>
        </w:rPr>
        <w:t xml:space="preserve"> </w:t>
      </w:r>
      <w:r w:rsidRPr="00B01931">
        <w:rPr>
          <w:lang w:val="fr-BE"/>
        </w:rPr>
        <w:t xml:space="preserve">un taux de </w:t>
      </w:r>
      <w:r w:rsidR="00AB0C33" w:rsidRPr="00B01931">
        <w:rPr>
          <w:lang w:val="fr-BE"/>
        </w:rPr>
        <w:t xml:space="preserve">18,1%. </w:t>
      </w:r>
      <w:r w:rsidRPr="00B01931">
        <w:rPr>
          <w:lang w:val="fr-BE"/>
        </w:rPr>
        <w:t xml:space="preserve">En moyenne sur ces 4 années ils ont chacun attesté 1.670 accouchements par an et cela représente </w:t>
      </w:r>
      <w:r w:rsidR="00AB0C33" w:rsidRPr="00B01931">
        <w:rPr>
          <w:lang w:val="fr-BE"/>
        </w:rPr>
        <w:t xml:space="preserve">10,1% </w:t>
      </w:r>
      <w:r w:rsidRPr="00B01931">
        <w:rPr>
          <w:lang w:val="fr-BE"/>
        </w:rPr>
        <w:t xml:space="preserve">de tous les accouchements attestés entre </w:t>
      </w:r>
      <w:r w:rsidR="00AB0C33" w:rsidRPr="00B01931">
        <w:rPr>
          <w:lang w:val="fr-BE"/>
        </w:rPr>
        <w:t>2008 en 2011.</w:t>
      </w:r>
    </w:p>
    <w:p w:rsidR="00AB0C33" w:rsidRPr="00B01931" w:rsidRDefault="00AB0C33" w:rsidP="008F2575">
      <w:pPr>
        <w:spacing w:after="0"/>
        <w:rPr>
          <w:lang w:val="fr-BE"/>
        </w:rPr>
      </w:pPr>
    </w:p>
    <w:p w:rsidR="00AB0C33" w:rsidRPr="00EC1077" w:rsidRDefault="00AB0C33" w:rsidP="00AB0C33">
      <w:pPr>
        <w:spacing w:after="0"/>
        <w:jc w:val="right"/>
        <w:rPr>
          <w:lang w:val="nl-BE"/>
        </w:rPr>
      </w:pPr>
      <w:r>
        <w:rPr>
          <w:lang w:val="nl-BE"/>
        </w:rPr>
        <w:t>Joeri Guillaume</w:t>
      </w:r>
    </w:p>
    <w:sectPr w:rsidR="00AB0C33" w:rsidRPr="00EC1077" w:rsidSect="00515FAC">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82B" w:rsidRDefault="0050182B" w:rsidP="00DF0EE0">
      <w:pPr>
        <w:spacing w:after="0" w:line="240" w:lineRule="auto"/>
      </w:pPr>
      <w:r>
        <w:separator/>
      </w:r>
    </w:p>
  </w:endnote>
  <w:endnote w:type="continuationSeparator" w:id="0">
    <w:p w:rsidR="0050182B" w:rsidRDefault="0050182B" w:rsidP="00DF0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3165555"/>
      <w:docPartObj>
        <w:docPartGallery w:val="Page Numbers (Bottom of Page)"/>
        <w:docPartUnique/>
      </w:docPartObj>
    </w:sdtPr>
    <w:sdtEndPr>
      <w:rPr>
        <w:noProof/>
      </w:rPr>
    </w:sdtEndPr>
    <w:sdtContent>
      <w:p w:rsidR="00847040" w:rsidRDefault="00847040">
        <w:pPr>
          <w:pStyle w:val="Footer"/>
          <w:jc w:val="right"/>
        </w:pPr>
        <w:r>
          <w:fldChar w:fldCharType="begin"/>
        </w:r>
        <w:r>
          <w:instrText xml:space="preserve"> PAGE   \* MERGEFORMAT </w:instrText>
        </w:r>
        <w:r>
          <w:fldChar w:fldCharType="separate"/>
        </w:r>
        <w:r w:rsidR="0054004F">
          <w:rPr>
            <w:noProof/>
          </w:rPr>
          <w:t>10</w:t>
        </w:r>
        <w:r>
          <w:rPr>
            <w:noProof/>
          </w:rPr>
          <w:fldChar w:fldCharType="end"/>
        </w:r>
      </w:p>
    </w:sdtContent>
  </w:sdt>
  <w:p w:rsidR="00847040" w:rsidRDefault="008470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82B" w:rsidRDefault="0050182B" w:rsidP="00DF0EE0">
      <w:pPr>
        <w:spacing w:after="0" w:line="240" w:lineRule="auto"/>
      </w:pPr>
      <w:r>
        <w:separator/>
      </w:r>
    </w:p>
  </w:footnote>
  <w:footnote w:type="continuationSeparator" w:id="0">
    <w:p w:rsidR="0050182B" w:rsidRDefault="0050182B" w:rsidP="00DF0EE0">
      <w:pPr>
        <w:spacing w:after="0" w:line="240" w:lineRule="auto"/>
      </w:pPr>
      <w:r>
        <w:continuationSeparator/>
      </w:r>
    </w:p>
  </w:footnote>
  <w:footnote w:id="1">
    <w:p w:rsidR="00070DE4" w:rsidRPr="00070DE4" w:rsidRDefault="00070DE4">
      <w:pPr>
        <w:pStyle w:val="FootnoteText"/>
        <w:rPr>
          <w:lang w:val="fr-BE"/>
        </w:rPr>
      </w:pPr>
      <w:r>
        <w:rPr>
          <w:rStyle w:val="FootnoteReference"/>
        </w:rPr>
        <w:footnoteRef/>
      </w:r>
      <w:r w:rsidRPr="00070DE4">
        <w:rPr>
          <w:lang w:val="fr-BE"/>
        </w:rPr>
        <w:t xml:space="preserve"> </w:t>
      </w:r>
      <w:r>
        <w:rPr>
          <w:lang w:val="fr-BE"/>
        </w:rPr>
        <w:t>La notification ‘bis’ des annexes 2012 réfère à l’annexe similaire avec la même numérotation des annexes originales 2008-2011</w:t>
      </w:r>
    </w:p>
  </w:footnote>
  <w:footnote w:id="2">
    <w:p w:rsidR="005D5EEC" w:rsidRPr="005E12A3" w:rsidRDefault="005D5EEC" w:rsidP="005D5EEC">
      <w:pPr>
        <w:pStyle w:val="FootnoteText"/>
        <w:rPr>
          <w:lang w:val="fr-BE"/>
        </w:rPr>
      </w:pPr>
      <w:r>
        <w:rPr>
          <w:rStyle w:val="FootnoteReference"/>
        </w:rPr>
        <w:footnoteRef/>
      </w:r>
      <w:r w:rsidRPr="005E12A3">
        <w:rPr>
          <w:lang w:val="fr-BE"/>
        </w:rPr>
        <w:t xml:space="preserve"> </w:t>
      </w:r>
      <w:r w:rsidR="005E12A3" w:rsidRPr="005E12A3">
        <w:rPr>
          <w:lang w:val="fr-BE"/>
        </w:rPr>
        <w:t>A l’exception des tableaux</w:t>
      </w:r>
      <w:r w:rsidRPr="005E12A3">
        <w:rPr>
          <w:lang w:val="fr-BE"/>
        </w:rPr>
        <w:t xml:space="preserve"> 15, 16 e</w:t>
      </w:r>
      <w:r w:rsidR="005E12A3">
        <w:rPr>
          <w:lang w:val="fr-BE"/>
        </w:rPr>
        <w:t>t</w:t>
      </w:r>
      <w:r w:rsidRPr="005E12A3">
        <w:rPr>
          <w:lang w:val="fr-BE"/>
        </w:rPr>
        <w:t xml:space="preserve"> 17</w:t>
      </w:r>
    </w:p>
  </w:footnote>
  <w:footnote w:id="3">
    <w:p w:rsidR="00070DE4" w:rsidRPr="00070DE4" w:rsidRDefault="00070DE4">
      <w:pPr>
        <w:pStyle w:val="FootnoteText"/>
        <w:rPr>
          <w:lang w:val="fr-BE"/>
        </w:rPr>
      </w:pPr>
      <w:r>
        <w:rPr>
          <w:rStyle w:val="FootnoteReference"/>
        </w:rPr>
        <w:footnoteRef/>
      </w:r>
      <w:r w:rsidRPr="00070DE4">
        <w:rPr>
          <w:lang w:val="fr-BE"/>
        </w:rPr>
        <w:t xml:space="preserve"> </w:t>
      </w:r>
      <w:r>
        <w:rPr>
          <w:lang w:val="fr-BE"/>
        </w:rPr>
        <w:t>Les annexes x-bis reprennent la même information que l’annexe x, mais mise à jour pour 2012</w:t>
      </w:r>
    </w:p>
  </w:footnote>
  <w:footnote w:id="4">
    <w:p w:rsidR="00451F7B" w:rsidRPr="00451F7B" w:rsidRDefault="00451F7B">
      <w:pPr>
        <w:pStyle w:val="FootnoteText"/>
        <w:rPr>
          <w:lang w:val="fr-BE"/>
        </w:rPr>
      </w:pPr>
      <w:r>
        <w:rPr>
          <w:rStyle w:val="FootnoteReference"/>
        </w:rPr>
        <w:footnoteRef/>
      </w:r>
      <w:r w:rsidRPr="00451F7B">
        <w:rPr>
          <w:lang w:val="fr-BE"/>
        </w:rPr>
        <w:t xml:space="preserve"> </w:t>
      </w:r>
      <w:r>
        <w:rPr>
          <w:lang w:val="fr-BE"/>
        </w:rPr>
        <w:t>La consommation de médicaments de la femme ayant accouché a été observée durant sa grossesse et si pour une de classes ATC sélectionnées la consommation exprimée en DDD était supérieure à plus de 90</w:t>
      </w:r>
      <w:r w:rsidR="00223A32">
        <w:rPr>
          <w:lang w:val="fr-BE"/>
        </w:rPr>
        <w:t>, nous sommes partis de l’hypothèse que cette patiente souffre de la pathologie (chronique) y relatée. Les nombres absolus dans le tableau ont trait aux observations faites sur base de plus ou moins la moitié des accouchements en 2010, à savoir l’observation des femmes enceintes ayant accouché entre le 1/4/2010 et le 30/6/2010 ou entre le 1/10/2010 et le 31/12/2010.</w:t>
      </w:r>
    </w:p>
  </w:footnote>
  <w:footnote w:id="5">
    <w:p w:rsidR="00D15392" w:rsidRPr="00C92706" w:rsidRDefault="00D15392">
      <w:pPr>
        <w:pStyle w:val="FootnoteText"/>
        <w:rPr>
          <w:lang w:val="fr-BE"/>
        </w:rPr>
      </w:pPr>
      <w:r>
        <w:rPr>
          <w:rStyle w:val="FootnoteReference"/>
        </w:rPr>
        <w:footnoteRef/>
      </w:r>
      <w:r w:rsidRPr="00C92706">
        <w:rPr>
          <w:lang w:val="fr-BE"/>
        </w:rPr>
        <w:t xml:space="preserve"> Gyn</w:t>
      </w:r>
      <w:r w:rsidR="00C92706" w:rsidRPr="00C92706">
        <w:rPr>
          <w:lang w:val="fr-BE"/>
        </w:rPr>
        <w:t>écologues actifs au sein de plusieur</w:t>
      </w:r>
      <w:r w:rsidR="00C92706">
        <w:rPr>
          <w:lang w:val="fr-BE"/>
        </w:rPr>
        <w:t>e</w:t>
      </w:r>
      <w:r w:rsidR="00C92706" w:rsidRPr="00C92706">
        <w:rPr>
          <w:lang w:val="fr-BE"/>
        </w:rPr>
        <w:t>s maternités seront donc compté</w:t>
      </w:r>
      <w:r w:rsidR="00C92706">
        <w:rPr>
          <w:lang w:val="fr-BE"/>
        </w:rPr>
        <w:t>s</w:t>
      </w:r>
      <w:r w:rsidR="00C92706" w:rsidRPr="00C92706">
        <w:rPr>
          <w:lang w:val="fr-BE"/>
        </w:rPr>
        <w:t xml:space="preserve"> dans cet annexe autant de fois que  le nombre de maternités dans lesquelles ils</w:t>
      </w:r>
      <w:r w:rsidR="00C92706">
        <w:rPr>
          <w:lang w:val="fr-BE"/>
        </w:rPr>
        <w:t>/elles</w:t>
      </w:r>
      <w:r w:rsidR="00C92706" w:rsidRPr="00C92706">
        <w:rPr>
          <w:lang w:val="fr-BE"/>
        </w:rPr>
        <w:t xml:space="preserve"> produisent une activité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235A3"/>
    <w:multiLevelType w:val="hybridMultilevel"/>
    <w:tmpl w:val="B77CC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DE38E3"/>
    <w:multiLevelType w:val="hybridMultilevel"/>
    <w:tmpl w:val="57283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E87965"/>
    <w:multiLevelType w:val="hybridMultilevel"/>
    <w:tmpl w:val="E9445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9B297A"/>
    <w:multiLevelType w:val="hybridMultilevel"/>
    <w:tmpl w:val="D31C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0B1056"/>
    <w:multiLevelType w:val="hybridMultilevel"/>
    <w:tmpl w:val="D1789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F92238"/>
    <w:multiLevelType w:val="hybridMultilevel"/>
    <w:tmpl w:val="F7BC7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6342CB"/>
    <w:multiLevelType w:val="hybridMultilevel"/>
    <w:tmpl w:val="4CA2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E33B63"/>
    <w:multiLevelType w:val="hybridMultilevel"/>
    <w:tmpl w:val="EBD6F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044563"/>
    <w:multiLevelType w:val="hybridMultilevel"/>
    <w:tmpl w:val="46F6A47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751B41"/>
    <w:multiLevelType w:val="hybridMultilevel"/>
    <w:tmpl w:val="60DC3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5923DE"/>
    <w:multiLevelType w:val="hybridMultilevel"/>
    <w:tmpl w:val="52AC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FA65BF"/>
    <w:multiLevelType w:val="hybridMultilevel"/>
    <w:tmpl w:val="3B54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9C0AF0"/>
    <w:multiLevelType w:val="hybridMultilevel"/>
    <w:tmpl w:val="98CE8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870434"/>
    <w:multiLevelType w:val="hybridMultilevel"/>
    <w:tmpl w:val="C324D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2B1160"/>
    <w:multiLevelType w:val="hybridMultilevel"/>
    <w:tmpl w:val="CB308B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DD42B4"/>
    <w:multiLevelType w:val="hybridMultilevel"/>
    <w:tmpl w:val="4D8EB59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nsid w:val="4BCE5C17"/>
    <w:multiLevelType w:val="hybridMultilevel"/>
    <w:tmpl w:val="30023B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07C6737"/>
    <w:multiLevelType w:val="hybridMultilevel"/>
    <w:tmpl w:val="CCE64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6C78C7"/>
    <w:multiLevelType w:val="hybridMultilevel"/>
    <w:tmpl w:val="FB767790"/>
    <w:lvl w:ilvl="0" w:tplc="3B220D52">
      <w:start w:val="1"/>
      <w:numFmt w:val="bullet"/>
      <w:lvlText w:val=""/>
      <w:lvlJc w:val="left"/>
      <w:pPr>
        <w:ind w:left="720" w:hanging="360"/>
      </w:pPr>
      <w:rPr>
        <w:rFonts w:ascii="Symbol" w:hAnsi="Symbol" w:hint="default"/>
        <w:lang w:val="fr-B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C415F8"/>
    <w:multiLevelType w:val="hybridMultilevel"/>
    <w:tmpl w:val="02A60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BF1DD8"/>
    <w:multiLevelType w:val="hybridMultilevel"/>
    <w:tmpl w:val="3AD0A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4F42E2B"/>
    <w:multiLevelType w:val="hybridMultilevel"/>
    <w:tmpl w:val="E9424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4E6EB5"/>
    <w:multiLevelType w:val="hybridMultilevel"/>
    <w:tmpl w:val="E2A6A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A66E53"/>
    <w:multiLevelType w:val="hybridMultilevel"/>
    <w:tmpl w:val="4DCC0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2"/>
  </w:num>
  <w:num w:numId="4">
    <w:abstractNumId w:val="12"/>
  </w:num>
  <w:num w:numId="5">
    <w:abstractNumId w:val="16"/>
  </w:num>
  <w:num w:numId="6">
    <w:abstractNumId w:val="6"/>
  </w:num>
  <w:num w:numId="7">
    <w:abstractNumId w:val="19"/>
  </w:num>
  <w:num w:numId="8">
    <w:abstractNumId w:val="22"/>
  </w:num>
  <w:num w:numId="9">
    <w:abstractNumId w:val="1"/>
  </w:num>
  <w:num w:numId="10">
    <w:abstractNumId w:val="4"/>
  </w:num>
  <w:num w:numId="11">
    <w:abstractNumId w:val="21"/>
  </w:num>
  <w:num w:numId="12">
    <w:abstractNumId w:val="14"/>
  </w:num>
  <w:num w:numId="13">
    <w:abstractNumId w:val="8"/>
  </w:num>
  <w:num w:numId="14">
    <w:abstractNumId w:val="7"/>
  </w:num>
  <w:num w:numId="15">
    <w:abstractNumId w:val="17"/>
  </w:num>
  <w:num w:numId="16">
    <w:abstractNumId w:val="15"/>
  </w:num>
  <w:num w:numId="17">
    <w:abstractNumId w:val="5"/>
  </w:num>
  <w:num w:numId="18">
    <w:abstractNumId w:val="0"/>
  </w:num>
  <w:num w:numId="19">
    <w:abstractNumId w:val="3"/>
  </w:num>
  <w:num w:numId="20">
    <w:abstractNumId w:val="23"/>
  </w:num>
  <w:num w:numId="21">
    <w:abstractNumId w:val="18"/>
  </w:num>
  <w:num w:numId="22">
    <w:abstractNumId w:val="10"/>
  </w:num>
  <w:num w:numId="23">
    <w:abstractNumId w:val="11"/>
  </w:num>
  <w:num w:numId="24">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338"/>
    <w:rsid w:val="00001E19"/>
    <w:rsid w:val="00012432"/>
    <w:rsid w:val="00015045"/>
    <w:rsid w:val="00016433"/>
    <w:rsid w:val="00024F8C"/>
    <w:rsid w:val="00025ACD"/>
    <w:rsid w:val="00031B96"/>
    <w:rsid w:val="0003218C"/>
    <w:rsid w:val="00036C6A"/>
    <w:rsid w:val="000444BB"/>
    <w:rsid w:val="00044DA0"/>
    <w:rsid w:val="0004501A"/>
    <w:rsid w:val="00045275"/>
    <w:rsid w:val="00053080"/>
    <w:rsid w:val="0005675C"/>
    <w:rsid w:val="00064A5A"/>
    <w:rsid w:val="00070DE4"/>
    <w:rsid w:val="00071409"/>
    <w:rsid w:val="00071840"/>
    <w:rsid w:val="0007782D"/>
    <w:rsid w:val="000817BA"/>
    <w:rsid w:val="00081FF3"/>
    <w:rsid w:val="0008447C"/>
    <w:rsid w:val="000A4286"/>
    <w:rsid w:val="000A5312"/>
    <w:rsid w:val="000A68C3"/>
    <w:rsid w:val="000B034A"/>
    <w:rsid w:val="000B2FA5"/>
    <w:rsid w:val="000B531B"/>
    <w:rsid w:val="000B7200"/>
    <w:rsid w:val="000C1277"/>
    <w:rsid w:val="000C3984"/>
    <w:rsid w:val="000C3AF8"/>
    <w:rsid w:val="000D3B58"/>
    <w:rsid w:val="000E2BDA"/>
    <w:rsid w:val="000E3C82"/>
    <w:rsid w:val="000E7EA9"/>
    <w:rsid w:val="000F0766"/>
    <w:rsid w:val="000F2296"/>
    <w:rsid w:val="000F6B25"/>
    <w:rsid w:val="00101ABF"/>
    <w:rsid w:val="00110564"/>
    <w:rsid w:val="00111A54"/>
    <w:rsid w:val="00117196"/>
    <w:rsid w:val="0012372E"/>
    <w:rsid w:val="00124CD3"/>
    <w:rsid w:val="001253C1"/>
    <w:rsid w:val="00127A4C"/>
    <w:rsid w:val="001317E2"/>
    <w:rsid w:val="00137255"/>
    <w:rsid w:val="0015116F"/>
    <w:rsid w:val="001557CC"/>
    <w:rsid w:val="0015766F"/>
    <w:rsid w:val="00157A52"/>
    <w:rsid w:val="00160752"/>
    <w:rsid w:val="00161AC0"/>
    <w:rsid w:val="001623E5"/>
    <w:rsid w:val="001624E3"/>
    <w:rsid w:val="00162C46"/>
    <w:rsid w:val="0016354B"/>
    <w:rsid w:val="0017606F"/>
    <w:rsid w:val="00176CC8"/>
    <w:rsid w:val="00177A7B"/>
    <w:rsid w:val="0018203C"/>
    <w:rsid w:val="001824E3"/>
    <w:rsid w:val="0018381F"/>
    <w:rsid w:val="00191E42"/>
    <w:rsid w:val="00193052"/>
    <w:rsid w:val="001930F5"/>
    <w:rsid w:val="001B2E0D"/>
    <w:rsid w:val="001B37F3"/>
    <w:rsid w:val="001B4B4D"/>
    <w:rsid w:val="001C0C76"/>
    <w:rsid w:val="001D393D"/>
    <w:rsid w:val="001D6C00"/>
    <w:rsid w:val="001D7104"/>
    <w:rsid w:val="001E4776"/>
    <w:rsid w:val="001E55A4"/>
    <w:rsid w:val="001E7FD9"/>
    <w:rsid w:val="001F3A3C"/>
    <w:rsid w:val="001F4508"/>
    <w:rsid w:val="001F50EF"/>
    <w:rsid w:val="001F6B99"/>
    <w:rsid w:val="001F7344"/>
    <w:rsid w:val="001F7747"/>
    <w:rsid w:val="00201AC0"/>
    <w:rsid w:val="002026D5"/>
    <w:rsid w:val="00204A63"/>
    <w:rsid w:val="0020605D"/>
    <w:rsid w:val="0021042B"/>
    <w:rsid w:val="00210D11"/>
    <w:rsid w:val="002114E0"/>
    <w:rsid w:val="00212029"/>
    <w:rsid w:val="002122BD"/>
    <w:rsid w:val="002140FD"/>
    <w:rsid w:val="002172E1"/>
    <w:rsid w:val="00217A98"/>
    <w:rsid w:val="00221299"/>
    <w:rsid w:val="00221F2D"/>
    <w:rsid w:val="00223A32"/>
    <w:rsid w:val="00236D70"/>
    <w:rsid w:val="00246209"/>
    <w:rsid w:val="00250307"/>
    <w:rsid w:val="002559FA"/>
    <w:rsid w:val="002627C8"/>
    <w:rsid w:val="00263D68"/>
    <w:rsid w:val="00265C75"/>
    <w:rsid w:val="00270013"/>
    <w:rsid w:val="0027035F"/>
    <w:rsid w:val="002800D0"/>
    <w:rsid w:val="002839FA"/>
    <w:rsid w:val="002874A9"/>
    <w:rsid w:val="00290BD8"/>
    <w:rsid w:val="00291221"/>
    <w:rsid w:val="002918AA"/>
    <w:rsid w:val="00297000"/>
    <w:rsid w:val="002A037D"/>
    <w:rsid w:val="002A2882"/>
    <w:rsid w:val="002A4166"/>
    <w:rsid w:val="002A5842"/>
    <w:rsid w:val="002B2EBD"/>
    <w:rsid w:val="002B6D8C"/>
    <w:rsid w:val="002C0024"/>
    <w:rsid w:val="002C502D"/>
    <w:rsid w:val="002C73A9"/>
    <w:rsid w:val="002D0FA4"/>
    <w:rsid w:val="002D140E"/>
    <w:rsid w:val="002D79E0"/>
    <w:rsid w:val="002E09D6"/>
    <w:rsid w:val="002E120C"/>
    <w:rsid w:val="002E21C4"/>
    <w:rsid w:val="002E2806"/>
    <w:rsid w:val="002E3065"/>
    <w:rsid w:val="002F0B2E"/>
    <w:rsid w:val="002F4AF2"/>
    <w:rsid w:val="002F4EEC"/>
    <w:rsid w:val="002F57C8"/>
    <w:rsid w:val="002F7C0A"/>
    <w:rsid w:val="003028C8"/>
    <w:rsid w:val="00311D8E"/>
    <w:rsid w:val="00312E1D"/>
    <w:rsid w:val="0031435D"/>
    <w:rsid w:val="00314BB0"/>
    <w:rsid w:val="0031630B"/>
    <w:rsid w:val="0032031C"/>
    <w:rsid w:val="00322C47"/>
    <w:rsid w:val="0032474E"/>
    <w:rsid w:val="00327D41"/>
    <w:rsid w:val="0033385D"/>
    <w:rsid w:val="003442C8"/>
    <w:rsid w:val="00347D53"/>
    <w:rsid w:val="00352ED7"/>
    <w:rsid w:val="00357293"/>
    <w:rsid w:val="00360EA9"/>
    <w:rsid w:val="00367696"/>
    <w:rsid w:val="00370E9A"/>
    <w:rsid w:val="00375602"/>
    <w:rsid w:val="0038409C"/>
    <w:rsid w:val="00385257"/>
    <w:rsid w:val="003912BB"/>
    <w:rsid w:val="0039189E"/>
    <w:rsid w:val="00393143"/>
    <w:rsid w:val="00394355"/>
    <w:rsid w:val="003A252E"/>
    <w:rsid w:val="003A257F"/>
    <w:rsid w:val="003A5172"/>
    <w:rsid w:val="003B02A3"/>
    <w:rsid w:val="003B05B6"/>
    <w:rsid w:val="003B612C"/>
    <w:rsid w:val="003C5EA1"/>
    <w:rsid w:val="003C70E1"/>
    <w:rsid w:val="003D26CB"/>
    <w:rsid w:val="003D51D4"/>
    <w:rsid w:val="003D51EE"/>
    <w:rsid w:val="003D6249"/>
    <w:rsid w:val="003E1778"/>
    <w:rsid w:val="003E5338"/>
    <w:rsid w:val="003F14E2"/>
    <w:rsid w:val="003F3733"/>
    <w:rsid w:val="003F4E38"/>
    <w:rsid w:val="003F680A"/>
    <w:rsid w:val="003F6BE2"/>
    <w:rsid w:val="00401D05"/>
    <w:rsid w:val="004065E3"/>
    <w:rsid w:val="00406ED2"/>
    <w:rsid w:val="00410666"/>
    <w:rsid w:val="00413139"/>
    <w:rsid w:val="004148DD"/>
    <w:rsid w:val="004212DB"/>
    <w:rsid w:val="00430735"/>
    <w:rsid w:val="00431B55"/>
    <w:rsid w:val="00431FAC"/>
    <w:rsid w:val="00435192"/>
    <w:rsid w:val="00437252"/>
    <w:rsid w:val="00451216"/>
    <w:rsid w:val="00451F7B"/>
    <w:rsid w:val="00452850"/>
    <w:rsid w:val="00453947"/>
    <w:rsid w:val="004550B0"/>
    <w:rsid w:val="0045602A"/>
    <w:rsid w:val="00457E28"/>
    <w:rsid w:val="0046173F"/>
    <w:rsid w:val="004638D3"/>
    <w:rsid w:val="00465470"/>
    <w:rsid w:val="004663D3"/>
    <w:rsid w:val="004666F8"/>
    <w:rsid w:val="0046752C"/>
    <w:rsid w:val="00472EAC"/>
    <w:rsid w:val="00473E42"/>
    <w:rsid w:val="004759A2"/>
    <w:rsid w:val="00480FD2"/>
    <w:rsid w:val="00481437"/>
    <w:rsid w:val="0048171C"/>
    <w:rsid w:val="0048312A"/>
    <w:rsid w:val="0048475D"/>
    <w:rsid w:val="004858F7"/>
    <w:rsid w:val="0048636E"/>
    <w:rsid w:val="004925C0"/>
    <w:rsid w:val="0049323F"/>
    <w:rsid w:val="004945DF"/>
    <w:rsid w:val="00496811"/>
    <w:rsid w:val="004A22BF"/>
    <w:rsid w:val="004A630A"/>
    <w:rsid w:val="004A69AB"/>
    <w:rsid w:val="004B1CE4"/>
    <w:rsid w:val="004C4D94"/>
    <w:rsid w:val="004C5B7D"/>
    <w:rsid w:val="004C5E6C"/>
    <w:rsid w:val="004C6B9A"/>
    <w:rsid w:val="004C7C27"/>
    <w:rsid w:val="004D4436"/>
    <w:rsid w:val="004E6DBF"/>
    <w:rsid w:val="0050182B"/>
    <w:rsid w:val="005026EC"/>
    <w:rsid w:val="005135D6"/>
    <w:rsid w:val="00515FAC"/>
    <w:rsid w:val="005160B5"/>
    <w:rsid w:val="005169D8"/>
    <w:rsid w:val="0052075B"/>
    <w:rsid w:val="005324CC"/>
    <w:rsid w:val="00532CA9"/>
    <w:rsid w:val="005371C2"/>
    <w:rsid w:val="0054004F"/>
    <w:rsid w:val="005415FB"/>
    <w:rsid w:val="00545AEE"/>
    <w:rsid w:val="00545B70"/>
    <w:rsid w:val="00545DCD"/>
    <w:rsid w:val="00553D89"/>
    <w:rsid w:val="00554B85"/>
    <w:rsid w:val="00554F00"/>
    <w:rsid w:val="005601D8"/>
    <w:rsid w:val="00561AF5"/>
    <w:rsid w:val="0057091A"/>
    <w:rsid w:val="005736CF"/>
    <w:rsid w:val="00573AAF"/>
    <w:rsid w:val="00573D6F"/>
    <w:rsid w:val="00576599"/>
    <w:rsid w:val="00581A5F"/>
    <w:rsid w:val="00584895"/>
    <w:rsid w:val="005865F9"/>
    <w:rsid w:val="005902B0"/>
    <w:rsid w:val="00590318"/>
    <w:rsid w:val="00591A26"/>
    <w:rsid w:val="005948D7"/>
    <w:rsid w:val="0059571B"/>
    <w:rsid w:val="00595F51"/>
    <w:rsid w:val="005A0952"/>
    <w:rsid w:val="005A0B80"/>
    <w:rsid w:val="005A1873"/>
    <w:rsid w:val="005A2DAF"/>
    <w:rsid w:val="005A2DCF"/>
    <w:rsid w:val="005A378A"/>
    <w:rsid w:val="005A4E31"/>
    <w:rsid w:val="005A5580"/>
    <w:rsid w:val="005A5718"/>
    <w:rsid w:val="005B2DBE"/>
    <w:rsid w:val="005B3C21"/>
    <w:rsid w:val="005B4FE7"/>
    <w:rsid w:val="005B6632"/>
    <w:rsid w:val="005C3487"/>
    <w:rsid w:val="005C4A74"/>
    <w:rsid w:val="005C791A"/>
    <w:rsid w:val="005D08DF"/>
    <w:rsid w:val="005D34D3"/>
    <w:rsid w:val="005D5EEC"/>
    <w:rsid w:val="005D6B02"/>
    <w:rsid w:val="005E0110"/>
    <w:rsid w:val="005E12A3"/>
    <w:rsid w:val="005E2AD7"/>
    <w:rsid w:val="005E3D8A"/>
    <w:rsid w:val="005E4B1A"/>
    <w:rsid w:val="005F16EF"/>
    <w:rsid w:val="005F2777"/>
    <w:rsid w:val="0060468D"/>
    <w:rsid w:val="00604F09"/>
    <w:rsid w:val="00606337"/>
    <w:rsid w:val="0060792C"/>
    <w:rsid w:val="00611E87"/>
    <w:rsid w:val="0061371B"/>
    <w:rsid w:val="00621393"/>
    <w:rsid w:val="00640046"/>
    <w:rsid w:val="0064390A"/>
    <w:rsid w:val="00650ADD"/>
    <w:rsid w:val="0065122E"/>
    <w:rsid w:val="00652071"/>
    <w:rsid w:val="0065743E"/>
    <w:rsid w:val="0066061B"/>
    <w:rsid w:val="00661C58"/>
    <w:rsid w:val="006628CC"/>
    <w:rsid w:val="006730F9"/>
    <w:rsid w:val="0068097A"/>
    <w:rsid w:val="00681E93"/>
    <w:rsid w:val="00686F16"/>
    <w:rsid w:val="00687BF8"/>
    <w:rsid w:val="00694E13"/>
    <w:rsid w:val="0069581B"/>
    <w:rsid w:val="006A37B3"/>
    <w:rsid w:val="006A3D68"/>
    <w:rsid w:val="006B0772"/>
    <w:rsid w:val="006B1BB5"/>
    <w:rsid w:val="006B1F87"/>
    <w:rsid w:val="006B709E"/>
    <w:rsid w:val="006C01A8"/>
    <w:rsid w:val="006C29A3"/>
    <w:rsid w:val="006C3437"/>
    <w:rsid w:val="006C5D37"/>
    <w:rsid w:val="006E0627"/>
    <w:rsid w:val="006E07F7"/>
    <w:rsid w:val="006E0E3C"/>
    <w:rsid w:val="006E30D8"/>
    <w:rsid w:val="006E553B"/>
    <w:rsid w:val="006E7971"/>
    <w:rsid w:val="006F009D"/>
    <w:rsid w:val="006F52A7"/>
    <w:rsid w:val="007023A6"/>
    <w:rsid w:val="007038C2"/>
    <w:rsid w:val="00717795"/>
    <w:rsid w:val="0072564D"/>
    <w:rsid w:val="007360A8"/>
    <w:rsid w:val="00740CCD"/>
    <w:rsid w:val="00744FE3"/>
    <w:rsid w:val="00746BD2"/>
    <w:rsid w:val="00747E5C"/>
    <w:rsid w:val="00750555"/>
    <w:rsid w:val="007515C3"/>
    <w:rsid w:val="00757A4B"/>
    <w:rsid w:val="007632A1"/>
    <w:rsid w:val="00773893"/>
    <w:rsid w:val="00785532"/>
    <w:rsid w:val="007A3D6D"/>
    <w:rsid w:val="007A4DFA"/>
    <w:rsid w:val="007A6890"/>
    <w:rsid w:val="007C0A9D"/>
    <w:rsid w:val="007C14EB"/>
    <w:rsid w:val="007C5C95"/>
    <w:rsid w:val="007D5AE8"/>
    <w:rsid w:val="007D6B46"/>
    <w:rsid w:val="007D7A9D"/>
    <w:rsid w:val="007E088F"/>
    <w:rsid w:val="007E28F2"/>
    <w:rsid w:val="007E311A"/>
    <w:rsid w:val="007E4A8A"/>
    <w:rsid w:val="007E5658"/>
    <w:rsid w:val="007E5E4D"/>
    <w:rsid w:val="007E7B93"/>
    <w:rsid w:val="007F5E29"/>
    <w:rsid w:val="0080277C"/>
    <w:rsid w:val="00806559"/>
    <w:rsid w:val="00811228"/>
    <w:rsid w:val="008139D5"/>
    <w:rsid w:val="008140BE"/>
    <w:rsid w:val="0081681C"/>
    <w:rsid w:val="00820D1F"/>
    <w:rsid w:val="0082751C"/>
    <w:rsid w:val="00834648"/>
    <w:rsid w:val="00835FCC"/>
    <w:rsid w:val="00836C59"/>
    <w:rsid w:val="00843C63"/>
    <w:rsid w:val="00847040"/>
    <w:rsid w:val="00853B63"/>
    <w:rsid w:val="0085434C"/>
    <w:rsid w:val="008618E8"/>
    <w:rsid w:val="00867934"/>
    <w:rsid w:val="00867A33"/>
    <w:rsid w:val="00870722"/>
    <w:rsid w:val="0087313A"/>
    <w:rsid w:val="00883B83"/>
    <w:rsid w:val="00885EB0"/>
    <w:rsid w:val="00891BEC"/>
    <w:rsid w:val="0089311D"/>
    <w:rsid w:val="008934C8"/>
    <w:rsid w:val="00896883"/>
    <w:rsid w:val="008A035E"/>
    <w:rsid w:val="008A0D3F"/>
    <w:rsid w:val="008A1C22"/>
    <w:rsid w:val="008A48AD"/>
    <w:rsid w:val="008A5753"/>
    <w:rsid w:val="008A77A0"/>
    <w:rsid w:val="008B2851"/>
    <w:rsid w:val="008B33B3"/>
    <w:rsid w:val="008B74FC"/>
    <w:rsid w:val="008C0F7F"/>
    <w:rsid w:val="008C38B4"/>
    <w:rsid w:val="008C5AC4"/>
    <w:rsid w:val="008D0E06"/>
    <w:rsid w:val="008D3D98"/>
    <w:rsid w:val="008D4B2F"/>
    <w:rsid w:val="008D5393"/>
    <w:rsid w:val="008E06C5"/>
    <w:rsid w:val="008E1226"/>
    <w:rsid w:val="008E476D"/>
    <w:rsid w:val="008E602A"/>
    <w:rsid w:val="008E6E18"/>
    <w:rsid w:val="008E708E"/>
    <w:rsid w:val="008F22A4"/>
    <w:rsid w:val="008F2575"/>
    <w:rsid w:val="008F6959"/>
    <w:rsid w:val="0090396C"/>
    <w:rsid w:val="00905D9C"/>
    <w:rsid w:val="00911B1B"/>
    <w:rsid w:val="009177A8"/>
    <w:rsid w:val="00920B03"/>
    <w:rsid w:val="00920B80"/>
    <w:rsid w:val="0092144D"/>
    <w:rsid w:val="0092419E"/>
    <w:rsid w:val="0092679D"/>
    <w:rsid w:val="009306D0"/>
    <w:rsid w:val="00937560"/>
    <w:rsid w:val="00937D31"/>
    <w:rsid w:val="00941F1A"/>
    <w:rsid w:val="009557C5"/>
    <w:rsid w:val="009619F6"/>
    <w:rsid w:val="00961A86"/>
    <w:rsid w:val="0096486B"/>
    <w:rsid w:val="00967EB3"/>
    <w:rsid w:val="0097720C"/>
    <w:rsid w:val="009861C4"/>
    <w:rsid w:val="0099042A"/>
    <w:rsid w:val="009918B4"/>
    <w:rsid w:val="00993ABE"/>
    <w:rsid w:val="00993AFC"/>
    <w:rsid w:val="00995BF4"/>
    <w:rsid w:val="009A01D2"/>
    <w:rsid w:val="009A70C9"/>
    <w:rsid w:val="009A7F87"/>
    <w:rsid w:val="009B4289"/>
    <w:rsid w:val="009B4B6D"/>
    <w:rsid w:val="009B6883"/>
    <w:rsid w:val="009B69C8"/>
    <w:rsid w:val="009C1A3A"/>
    <w:rsid w:val="009C3788"/>
    <w:rsid w:val="009C733C"/>
    <w:rsid w:val="009D0D5D"/>
    <w:rsid w:val="009D60E7"/>
    <w:rsid w:val="009D7164"/>
    <w:rsid w:val="009E0FFE"/>
    <w:rsid w:val="009E3725"/>
    <w:rsid w:val="009E3727"/>
    <w:rsid w:val="009E5EE1"/>
    <w:rsid w:val="009E764F"/>
    <w:rsid w:val="009F008D"/>
    <w:rsid w:val="009F1705"/>
    <w:rsid w:val="009F487D"/>
    <w:rsid w:val="009F7A25"/>
    <w:rsid w:val="00A01737"/>
    <w:rsid w:val="00A14670"/>
    <w:rsid w:val="00A163F7"/>
    <w:rsid w:val="00A16D6C"/>
    <w:rsid w:val="00A218D2"/>
    <w:rsid w:val="00A25863"/>
    <w:rsid w:val="00A26BBA"/>
    <w:rsid w:val="00A327E9"/>
    <w:rsid w:val="00A36B12"/>
    <w:rsid w:val="00A4011C"/>
    <w:rsid w:val="00A423EC"/>
    <w:rsid w:val="00A433E2"/>
    <w:rsid w:val="00A65D12"/>
    <w:rsid w:val="00A67104"/>
    <w:rsid w:val="00A737EE"/>
    <w:rsid w:val="00A826DD"/>
    <w:rsid w:val="00A93B00"/>
    <w:rsid w:val="00A9489C"/>
    <w:rsid w:val="00A9577C"/>
    <w:rsid w:val="00A97BBD"/>
    <w:rsid w:val="00AA3223"/>
    <w:rsid w:val="00AA4B3B"/>
    <w:rsid w:val="00AA7728"/>
    <w:rsid w:val="00AB003E"/>
    <w:rsid w:val="00AB0C33"/>
    <w:rsid w:val="00AB151A"/>
    <w:rsid w:val="00AB30A2"/>
    <w:rsid w:val="00AB4C9D"/>
    <w:rsid w:val="00AC0460"/>
    <w:rsid w:val="00AC2FB8"/>
    <w:rsid w:val="00AC340D"/>
    <w:rsid w:val="00AC41C6"/>
    <w:rsid w:val="00AD4ED6"/>
    <w:rsid w:val="00AD561B"/>
    <w:rsid w:val="00AE127A"/>
    <w:rsid w:val="00AE184D"/>
    <w:rsid w:val="00AE33ED"/>
    <w:rsid w:val="00AF0BC1"/>
    <w:rsid w:val="00AF1A8E"/>
    <w:rsid w:val="00AF2D2B"/>
    <w:rsid w:val="00AF7997"/>
    <w:rsid w:val="00B01931"/>
    <w:rsid w:val="00B071B0"/>
    <w:rsid w:val="00B1083C"/>
    <w:rsid w:val="00B13F23"/>
    <w:rsid w:val="00B1556B"/>
    <w:rsid w:val="00B23BA2"/>
    <w:rsid w:val="00B23DBA"/>
    <w:rsid w:val="00B24FD1"/>
    <w:rsid w:val="00B25EAA"/>
    <w:rsid w:val="00B30779"/>
    <w:rsid w:val="00B35E0D"/>
    <w:rsid w:val="00B3618E"/>
    <w:rsid w:val="00B44FD0"/>
    <w:rsid w:val="00B50687"/>
    <w:rsid w:val="00B50EB8"/>
    <w:rsid w:val="00B51A78"/>
    <w:rsid w:val="00B51B02"/>
    <w:rsid w:val="00B5553F"/>
    <w:rsid w:val="00B55DBF"/>
    <w:rsid w:val="00B56BB0"/>
    <w:rsid w:val="00B6091F"/>
    <w:rsid w:val="00B617A7"/>
    <w:rsid w:val="00B63CA0"/>
    <w:rsid w:val="00B64FB6"/>
    <w:rsid w:val="00B70147"/>
    <w:rsid w:val="00B71FD8"/>
    <w:rsid w:val="00B73F36"/>
    <w:rsid w:val="00B8762C"/>
    <w:rsid w:val="00B87F73"/>
    <w:rsid w:val="00B901C8"/>
    <w:rsid w:val="00B90CDD"/>
    <w:rsid w:val="00B93BA2"/>
    <w:rsid w:val="00B954B2"/>
    <w:rsid w:val="00B95C26"/>
    <w:rsid w:val="00BB13D5"/>
    <w:rsid w:val="00BC3B2D"/>
    <w:rsid w:val="00BC5B38"/>
    <w:rsid w:val="00BC768A"/>
    <w:rsid w:val="00BD1400"/>
    <w:rsid w:val="00BD3CEB"/>
    <w:rsid w:val="00BD459A"/>
    <w:rsid w:val="00BD7B48"/>
    <w:rsid w:val="00BE16B2"/>
    <w:rsid w:val="00BF12CD"/>
    <w:rsid w:val="00BF2697"/>
    <w:rsid w:val="00BF2DF0"/>
    <w:rsid w:val="00BF39E8"/>
    <w:rsid w:val="00C01A23"/>
    <w:rsid w:val="00C03E93"/>
    <w:rsid w:val="00C07537"/>
    <w:rsid w:val="00C07AC0"/>
    <w:rsid w:val="00C112B0"/>
    <w:rsid w:val="00C113C6"/>
    <w:rsid w:val="00C129D7"/>
    <w:rsid w:val="00C13B7E"/>
    <w:rsid w:val="00C13C32"/>
    <w:rsid w:val="00C17310"/>
    <w:rsid w:val="00C17CB2"/>
    <w:rsid w:val="00C34A0D"/>
    <w:rsid w:val="00C36459"/>
    <w:rsid w:val="00C411A9"/>
    <w:rsid w:val="00C45F8B"/>
    <w:rsid w:val="00C519B6"/>
    <w:rsid w:val="00C5410B"/>
    <w:rsid w:val="00C545F7"/>
    <w:rsid w:val="00C5669F"/>
    <w:rsid w:val="00C57942"/>
    <w:rsid w:val="00C63FCF"/>
    <w:rsid w:val="00C65EAE"/>
    <w:rsid w:val="00C679ED"/>
    <w:rsid w:val="00C72945"/>
    <w:rsid w:val="00C75D8F"/>
    <w:rsid w:val="00C77CD3"/>
    <w:rsid w:val="00C87AD4"/>
    <w:rsid w:val="00C911E8"/>
    <w:rsid w:val="00C92706"/>
    <w:rsid w:val="00C934F4"/>
    <w:rsid w:val="00C948B5"/>
    <w:rsid w:val="00C94EA0"/>
    <w:rsid w:val="00CB3843"/>
    <w:rsid w:val="00CC2906"/>
    <w:rsid w:val="00CC36BA"/>
    <w:rsid w:val="00CC422A"/>
    <w:rsid w:val="00CC56DA"/>
    <w:rsid w:val="00CC641D"/>
    <w:rsid w:val="00CC7D81"/>
    <w:rsid w:val="00CD1E71"/>
    <w:rsid w:val="00CD23C3"/>
    <w:rsid w:val="00CD5E01"/>
    <w:rsid w:val="00CD6323"/>
    <w:rsid w:val="00CE2AF1"/>
    <w:rsid w:val="00CE3C74"/>
    <w:rsid w:val="00CE45B4"/>
    <w:rsid w:val="00CF08EE"/>
    <w:rsid w:val="00CF160A"/>
    <w:rsid w:val="00CF7DE0"/>
    <w:rsid w:val="00D000AE"/>
    <w:rsid w:val="00D0354C"/>
    <w:rsid w:val="00D03E07"/>
    <w:rsid w:val="00D0447C"/>
    <w:rsid w:val="00D10789"/>
    <w:rsid w:val="00D10A7E"/>
    <w:rsid w:val="00D10ABE"/>
    <w:rsid w:val="00D1159D"/>
    <w:rsid w:val="00D13C83"/>
    <w:rsid w:val="00D15392"/>
    <w:rsid w:val="00D15D64"/>
    <w:rsid w:val="00D20C01"/>
    <w:rsid w:val="00D25C12"/>
    <w:rsid w:val="00D264D5"/>
    <w:rsid w:val="00D31CEB"/>
    <w:rsid w:val="00D355AC"/>
    <w:rsid w:val="00D375F3"/>
    <w:rsid w:val="00D37ACC"/>
    <w:rsid w:val="00D41ECD"/>
    <w:rsid w:val="00D42FF3"/>
    <w:rsid w:val="00D458AB"/>
    <w:rsid w:val="00D521A8"/>
    <w:rsid w:val="00D579B9"/>
    <w:rsid w:val="00D6025F"/>
    <w:rsid w:val="00D613CF"/>
    <w:rsid w:val="00D61B46"/>
    <w:rsid w:val="00D71536"/>
    <w:rsid w:val="00D7190C"/>
    <w:rsid w:val="00D71B85"/>
    <w:rsid w:val="00D72301"/>
    <w:rsid w:val="00D76BA3"/>
    <w:rsid w:val="00D77DF6"/>
    <w:rsid w:val="00D80359"/>
    <w:rsid w:val="00D806AE"/>
    <w:rsid w:val="00D81F64"/>
    <w:rsid w:val="00D902DC"/>
    <w:rsid w:val="00D90971"/>
    <w:rsid w:val="00D92083"/>
    <w:rsid w:val="00D94B2A"/>
    <w:rsid w:val="00D9523D"/>
    <w:rsid w:val="00D96047"/>
    <w:rsid w:val="00DA0FA3"/>
    <w:rsid w:val="00DA3287"/>
    <w:rsid w:val="00DA3584"/>
    <w:rsid w:val="00DA49E6"/>
    <w:rsid w:val="00DA612D"/>
    <w:rsid w:val="00DB310F"/>
    <w:rsid w:val="00DB4E4C"/>
    <w:rsid w:val="00DB4F17"/>
    <w:rsid w:val="00DC3CF4"/>
    <w:rsid w:val="00DC70D9"/>
    <w:rsid w:val="00DD1001"/>
    <w:rsid w:val="00DD2648"/>
    <w:rsid w:val="00DE05A6"/>
    <w:rsid w:val="00DE06DF"/>
    <w:rsid w:val="00DF0EE0"/>
    <w:rsid w:val="00DF3AA6"/>
    <w:rsid w:val="00DF60E9"/>
    <w:rsid w:val="00E004C9"/>
    <w:rsid w:val="00E036DF"/>
    <w:rsid w:val="00E03E78"/>
    <w:rsid w:val="00E059EF"/>
    <w:rsid w:val="00E07303"/>
    <w:rsid w:val="00E105FF"/>
    <w:rsid w:val="00E134A7"/>
    <w:rsid w:val="00E25088"/>
    <w:rsid w:val="00E271CC"/>
    <w:rsid w:val="00E311CF"/>
    <w:rsid w:val="00E329A1"/>
    <w:rsid w:val="00E3497C"/>
    <w:rsid w:val="00E365BA"/>
    <w:rsid w:val="00E42E9E"/>
    <w:rsid w:val="00E510A0"/>
    <w:rsid w:val="00E5144A"/>
    <w:rsid w:val="00E5199F"/>
    <w:rsid w:val="00E55B5C"/>
    <w:rsid w:val="00E561BD"/>
    <w:rsid w:val="00E61C69"/>
    <w:rsid w:val="00E65990"/>
    <w:rsid w:val="00E70A57"/>
    <w:rsid w:val="00E711E2"/>
    <w:rsid w:val="00E713EF"/>
    <w:rsid w:val="00E75B50"/>
    <w:rsid w:val="00E77FF6"/>
    <w:rsid w:val="00E806BE"/>
    <w:rsid w:val="00E84D70"/>
    <w:rsid w:val="00E90C69"/>
    <w:rsid w:val="00E9527E"/>
    <w:rsid w:val="00EA12E6"/>
    <w:rsid w:val="00EA37E9"/>
    <w:rsid w:val="00EA735E"/>
    <w:rsid w:val="00EB1C66"/>
    <w:rsid w:val="00EC1077"/>
    <w:rsid w:val="00EC2FEE"/>
    <w:rsid w:val="00EC7C34"/>
    <w:rsid w:val="00ED26CD"/>
    <w:rsid w:val="00ED465D"/>
    <w:rsid w:val="00EF0374"/>
    <w:rsid w:val="00EF4C57"/>
    <w:rsid w:val="00F0098A"/>
    <w:rsid w:val="00F01101"/>
    <w:rsid w:val="00F011D3"/>
    <w:rsid w:val="00F01709"/>
    <w:rsid w:val="00F049B3"/>
    <w:rsid w:val="00F05E54"/>
    <w:rsid w:val="00F126B9"/>
    <w:rsid w:val="00F140A6"/>
    <w:rsid w:val="00F15DA4"/>
    <w:rsid w:val="00F20702"/>
    <w:rsid w:val="00F25E8A"/>
    <w:rsid w:val="00F2635C"/>
    <w:rsid w:val="00F31AE3"/>
    <w:rsid w:val="00F33471"/>
    <w:rsid w:val="00F346C8"/>
    <w:rsid w:val="00F36407"/>
    <w:rsid w:val="00F410EC"/>
    <w:rsid w:val="00F438AF"/>
    <w:rsid w:val="00F44E1F"/>
    <w:rsid w:val="00F474C7"/>
    <w:rsid w:val="00F56ABD"/>
    <w:rsid w:val="00F61207"/>
    <w:rsid w:val="00F652C9"/>
    <w:rsid w:val="00F72598"/>
    <w:rsid w:val="00F726A6"/>
    <w:rsid w:val="00F77942"/>
    <w:rsid w:val="00F8067F"/>
    <w:rsid w:val="00F903C0"/>
    <w:rsid w:val="00F91338"/>
    <w:rsid w:val="00F91953"/>
    <w:rsid w:val="00F9581E"/>
    <w:rsid w:val="00F95CFB"/>
    <w:rsid w:val="00FA05E5"/>
    <w:rsid w:val="00FA12B0"/>
    <w:rsid w:val="00FA682B"/>
    <w:rsid w:val="00FB19DD"/>
    <w:rsid w:val="00FB75F1"/>
    <w:rsid w:val="00FC366A"/>
    <w:rsid w:val="00FC7D7A"/>
    <w:rsid w:val="00FC7F3C"/>
    <w:rsid w:val="00FD5206"/>
    <w:rsid w:val="00FD6A55"/>
    <w:rsid w:val="00FE0E8A"/>
    <w:rsid w:val="00FE3CB1"/>
    <w:rsid w:val="00FE5025"/>
    <w:rsid w:val="00FE5A39"/>
    <w:rsid w:val="00FE5A4A"/>
    <w:rsid w:val="00FE7C40"/>
    <w:rsid w:val="00FF6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013"/>
  </w:style>
  <w:style w:type="paragraph" w:styleId="Heading1">
    <w:name w:val="heading 1"/>
    <w:basedOn w:val="Normal"/>
    <w:next w:val="Normal"/>
    <w:link w:val="Heading1Char"/>
    <w:uiPriority w:val="9"/>
    <w:qFormat/>
    <w:rsid w:val="002A41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416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A416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1338"/>
    <w:pPr>
      <w:ind w:left="720"/>
      <w:contextualSpacing/>
    </w:pPr>
  </w:style>
  <w:style w:type="character" w:customStyle="1" w:styleId="Heading2Char">
    <w:name w:val="Heading 2 Char"/>
    <w:basedOn w:val="DefaultParagraphFont"/>
    <w:link w:val="Heading2"/>
    <w:uiPriority w:val="9"/>
    <w:rsid w:val="002A416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A4166"/>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2A416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8A4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8AD"/>
    <w:rPr>
      <w:rFonts w:ascii="Tahoma" w:hAnsi="Tahoma" w:cs="Tahoma"/>
      <w:sz w:val="16"/>
      <w:szCs w:val="16"/>
    </w:rPr>
  </w:style>
  <w:style w:type="paragraph" w:styleId="Header">
    <w:name w:val="header"/>
    <w:basedOn w:val="Normal"/>
    <w:link w:val="HeaderChar"/>
    <w:uiPriority w:val="99"/>
    <w:unhideWhenUsed/>
    <w:rsid w:val="00DF0E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EE0"/>
  </w:style>
  <w:style w:type="paragraph" w:styleId="Footer">
    <w:name w:val="footer"/>
    <w:basedOn w:val="Normal"/>
    <w:link w:val="FooterChar"/>
    <w:uiPriority w:val="99"/>
    <w:unhideWhenUsed/>
    <w:rsid w:val="00DF0E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0EE0"/>
  </w:style>
  <w:style w:type="paragraph" w:styleId="FootnoteText">
    <w:name w:val="footnote text"/>
    <w:basedOn w:val="Normal"/>
    <w:link w:val="FootnoteTextChar"/>
    <w:semiHidden/>
    <w:rsid w:val="00A826DD"/>
    <w:pPr>
      <w:spacing w:after="0" w:line="240" w:lineRule="auto"/>
    </w:pPr>
    <w:rPr>
      <w:rFonts w:ascii="Times New Roman" w:eastAsia="Times New Roman" w:hAnsi="Times New Roman" w:cs="Times New Roman"/>
      <w:noProof/>
      <w:sz w:val="20"/>
      <w:szCs w:val="20"/>
      <w:lang w:val="nl-BE"/>
    </w:rPr>
  </w:style>
  <w:style w:type="character" w:customStyle="1" w:styleId="FootnoteTextChar">
    <w:name w:val="Footnote Text Char"/>
    <w:basedOn w:val="DefaultParagraphFont"/>
    <w:link w:val="FootnoteText"/>
    <w:semiHidden/>
    <w:rsid w:val="00A826DD"/>
    <w:rPr>
      <w:rFonts w:ascii="Times New Roman" w:eastAsia="Times New Roman" w:hAnsi="Times New Roman" w:cs="Times New Roman"/>
      <w:noProof/>
      <w:sz w:val="20"/>
      <w:szCs w:val="20"/>
      <w:lang w:val="nl-BE"/>
    </w:rPr>
  </w:style>
  <w:style w:type="character" w:styleId="FootnoteReference">
    <w:name w:val="footnote reference"/>
    <w:basedOn w:val="DefaultParagraphFont"/>
    <w:semiHidden/>
    <w:rsid w:val="00A826DD"/>
    <w:rPr>
      <w:vertAlign w:val="superscript"/>
    </w:rPr>
  </w:style>
  <w:style w:type="paragraph" w:styleId="EndnoteText">
    <w:name w:val="endnote text"/>
    <w:basedOn w:val="Normal"/>
    <w:link w:val="EndnoteTextChar"/>
    <w:uiPriority w:val="99"/>
    <w:semiHidden/>
    <w:unhideWhenUsed/>
    <w:rsid w:val="00ED465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D465D"/>
    <w:rPr>
      <w:sz w:val="20"/>
      <w:szCs w:val="20"/>
    </w:rPr>
  </w:style>
  <w:style w:type="character" w:styleId="EndnoteReference">
    <w:name w:val="endnote reference"/>
    <w:basedOn w:val="DefaultParagraphFont"/>
    <w:uiPriority w:val="99"/>
    <w:semiHidden/>
    <w:unhideWhenUsed/>
    <w:rsid w:val="00ED465D"/>
    <w:rPr>
      <w:vertAlign w:val="superscript"/>
    </w:rPr>
  </w:style>
  <w:style w:type="character" w:styleId="CommentReference">
    <w:name w:val="annotation reference"/>
    <w:basedOn w:val="DefaultParagraphFont"/>
    <w:unhideWhenUsed/>
    <w:rsid w:val="003D26CB"/>
    <w:rPr>
      <w:sz w:val="16"/>
      <w:szCs w:val="16"/>
    </w:rPr>
  </w:style>
  <w:style w:type="paragraph" w:styleId="CommentText">
    <w:name w:val="annotation text"/>
    <w:basedOn w:val="Normal"/>
    <w:link w:val="CommentTextChar"/>
    <w:semiHidden/>
    <w:unhideWhenUsed/>
    <w:rsid w:val="003D26CB"/>
    <w:pPr>
      <w:spacing w:line="240" w:lineRule="auto"/>
    </w:pPr>
    <w:rPr>
      <w:sz w:val="20"/>
      <w:szCs w:val="20"/>
    </w:rPr>
  </w:style>
  <w:style w:type="character" w:customStyle="1" w:styleId="CommentTextChar">
    <w:name w:val="Comment Text Char"/>
    <w:basedOn w:val="DefaultParagraphFont"/>
    <w:link w:val="CommentText"/>
    <w:semiHidden/>
    <w:rsid w:val="003D26CB"/>
    <w:rPr>
      <w:sz w:val="20"/>
      <w:szCs w:val="20"/>
    </w:rPr>
  </w:style>
  <w:style w:type="paragraph" w:styleId="CommentSubject">
    <w:name w:val="annotation subject"/>
    <w:basedOn w:val="CommentText"/>
    <w:next w:val="CommentText"/>
    <w:link w:val="CommentSubjectChar"/>
    <w:uiPriority w:val="99"/>
    <w:semiHidden/>
    <w:unhideWhenUsed/>
    <w:rsid w:val="003D26CB"/>
    <w:rPr>
      <w:b/>
      <w:bCs/>
    </w:rPr>
  </w:style>
  <w:style w:type="character" w:customStyle="1" w:styleId="CommentSubjectChar">
    <w:name w:val="Comment Subject Char"/>
    <w:basedOn w:val="CommentTextChar"/>
    <w:link w:val="CommentSubject"/>
    <w:uiPriority w:val="99"/>
    <w:semiHidden/>
    <w:rsid w:val="003D26CB"/>
    <w:rPr>
      <w:b/>
      <w:bCs/>
      <w:sz w:val="20"/>
      <w:szCs w:val="20"/>
    </w:rPr>
  </w:style>
  <w:style w:type="paragraph" w:styleId="BodyText">
    <w:name w:val="Body Text"/>
    <w:basedOn w:val="Normal"/>
    <w:link w:val="BodyTextChar"/>
    <w:rsid w:val="00C519B6"/>
    <w:pPr>
      <w:spacing w:after="0" w:line="240" w:lineRule="auto"/>
      <w:jc w:val="center"/>
    </w:pPr>
    <w:rPr>
      <w:rFonts w:ascii="Times New Roman" w:eastAsia="Times New Roman" w:hAnsi="Times New Roman" w:cs="Times New Roman"/>
      <w:b/>
      <w:bCs/>
      <w:sz w:val="40"/>
      <w:szCs w:val="20"/>
      <w:lang w:val="fr-BE"/>
    </w:rPr>
  </w:style>
  <w:style w:type="character" w:customStyle="1" w:styleId="BodyTextChar">
    <w:name w:val="Body Text Char"/>
    <w:basedOn w:val="DefaultParagraphFont"/>
    <w:link w:val="BodyText"/>
    <w:rsid w:val="00C519B6"/>
    <w:rPr>
      <w:rFonts w:ascii="Times New Roman" w:eastAsia="Times New Roman" w:hAnsi="Times New Roman" w:cs="Times New Roman"/>
      <w:b/>
      <w:bCs/>
      <w:sz w:val="40"/>
      <w:szCs w:val="20"/>
      <w:lang w:val="fr-BE"/>
    </w:rPr>
  </w:style>
  <w:style w:type="character" w:styleId="Hyperlink">
    <w:name w:val="Hyperlink"/>
    <w:basedOn w:val="DefaultParagraphFont"/>
    <w:uiPriority w:val="99"/>
    <w:unhideWhenUsed/>
    <w:rsid w:val="00C519B6"/>
    <w:rPr>
      <w:color w:val="0000FF" w:themeColor="hyperlink"/>
      <w:u w:val="single"/>
    </w:rPr>
  </w:style>
  <w:style w:type="character" w:styleId="Strong">
    <w:name w:val="Strong"/>
    <w:basedOn w:val="DefaultParagraphFont"/>
    <w:qFormat/>
    <w:rsid w:val="00311D8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013"/>
  </w:style>
  <w:style w:type="paragraph" w:styleId="Heading1">
    <w:name w:val="heading 1"/>
    <w:basedOn w:val="Normal"/>
    <w:next w:val="Normal"/>
    <w:link w:val="Heading1Char"/>
    <w:uiPriority w:val="9"/>
    <w:qFormat/>
    <w:rsid w:val="002A41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416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A416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1338"/>
    <w:pPr>
      <w:ind w:left="720"/>
      <w:contextualSpacing/>
    </w:pPr>
  </w:style>
  <w:style w:type="character" w:customStyle="1" w:styleId="Heading2Char">
    <w:name w:val="Heading 2 Char"/>
    <w:basedOn w:val="DefaultParagraphFont"/>
    <w:link w:val="Heading2"/>
    <w:uiPriority w:val="9"/>
    <w:rsid w:val="002A416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A4166"/>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2A416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8A4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8AD"/>
    <w:rPr>
      <w:rFonts w:ascii="Tahoma" w:hAnsi="Tahoma" w:cs="Tahoma"/>
      <w:sz w:val="16"/>
      <w:szCs w:val="16"/>
    </w:rPr>
  </w:style>
  <w:style w:type="paragraph" w:styleId="Header">
    <w:name w:val="header"/>
    <w:basedOn w:val="Normal"/>
    <w:link w:val="HeaderChar"/>
    <w:uiPriority w:val="99"/>
    <w:unhideWhenUsed/>
    <w:rsid w:val="00DF0E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EE0"/>
  </w:style>
  <w:style w:type="paragraph" w:styleId="Footer">
    <w:name w:val="footer"/>
    <w:basedOn w:val="Normal"/>
    <w:link w:val="FooterChar"/>
    <w:uiPriority w:val="99"/>
    <w:unhideWhenUsed/>
    <w:rsid w:val="00DF0E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0EE0"/>
  </w:style>
  <w:style w:type="paragraph" w:styleId="FootnoteText">
    <w:name w:val="footnote text"/>
    <w:basedOn w:val="Normal"/>
    <w:link w:val="FootnoteTextChar"/>
    <w:semiHidden/>
    <w:rsid w:val="00A826DD"/>
    <w:pPr>
      <w:spacing w:after="0" w:line="240" w:lineRule="auto"/>
    </w:pPr>
    <w:rPr>
      <w:rFonts w:ascii="Times New Roman" w:eastAsia="Times New Roman" w:hAnsi="Times New Roman" w:cs="Times New Roman"/>
      <w:noProof/>
      <w:sz w:val="20"/>
      <w:szCs w:val="20"/>
      <w:lang w:val="nl-BE"/>
    </w:rPr>
  </w:style>
  <w:style w:type="character" w:customStyle="1" w:styleId="FootnoteTextChar">
    <w:name w:val="Footnote Text Char"/>
    <w:basedOn w:val="DefaultParagraphFont"/>
    <w:link w:val="FootnoteText"/>
    <w:semiHidden/>
    <w:rsid w:val="00A826DD"/>
    <w:rPr>
      <w:rFonts w:ascii="Times New Roman" w:eastAsia="Times New Roman" w:hAnsi="Times New Roman" w:cs="Times New Roman"/>
      <w:noProof/>
      <w:sz w:val="20"/>
      <w:szCs w:val="20"/>
      <w:lang w:val="nl-BE"/>
    </w:rPr>
  </w:style>
  <w:style w:type="character" w:styleId="FootnoteReference">
    <w:name w:val="footnote reference"/>
    <w:basedOn w:val="DefaultParagraphFont"/>
    <w:semiHidden/>
    <w:rsid w:val="00A826DD"/>
    <w:rPr>
      <w:vertAlign w:val="superscript"/>
    </w:rPr>
  </w:style>
  <w:style w:type="paragraph" w:styleId="EndnoteText">
    <w:name w:val="endnote text"/>
    <w:basedOn w:val="Normal"/>
    <w:link w:val="EndnoteTextChar"/>
    <w:uiPriority w:val="99"/>
    <w:semiHidden/>
    <w:unhideWhenUsed/>
    <w:rsid w:val="00ED465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D465D"/>
    <w:rPr>
      <w:sz w:val="20"/>
      <w:szCs w:val="20"/>
    </w:rPr>
  </w:style>
  <w:style w:type="character" w:styleId="EndnoteReference">
    <w:name w:val="endnote reference"/>
    <w:basedOn w:val="DefaultParagraphFont"/>
    <w:uiPriority w:val="99"/>
    <w:semiHidden/>
    <w:unhideWhenUsed/>
    <w:rsid w:val="00ED465D"/>
    <w:rPr>
      <w:vertAlign w:val="superscript"/>
    </w:rPr>
  </w:style>
  <w:style w:type="character" w:styleId="CommentReference">
    <w:name w:val="annotation reference"/>
    <w:basedOn w:val="DefaultParagraphFont"/>
    <w:unhideWhenUsed/>
    <w:rsid w:val="003D26CB"/>
    <w:rPr>
      <w:sz w:val="16"/>
      <w:szCs w:val="16"/>
    </w:rPr>
  </w:style>
  <w:style w:type="paragraph" w:styleId="CommentText">
    <w:name w:val="annotation text"/>
    <w:basedOn w:val="Normal"/>
    <w:link w:val="CommentTextChar"/>
    <w:semiHidden/>
    <w:unhideWhenUsed/>
    <w:rsid w:val="003D26CB"/>
    <w:pPr>
      <w:spacing w:line="240" w:lineRule="auto"/>
    </w:pPr>
    <w:rPr>
      <w:sz w:val="20"/>
      <w:szCs w:val="20"/>
    </w:rPr>
  </w:style>
  <w:style w:type="character" w:customStyle="1" w:styleId="CommentTextChar">
    <w:name w:val="Comment Text Char"/>
    <w:basedOn w:val="DefaultParagraphFont"/>
    <w:link w:val="CommentText"/>
    <w:semiHidden/>
    <w:rsid w:val="003D26CB"/>
    <w:rPr>
      <w:sz w:val="20"/>
      <w:szCs w:val="20"/>
    </w:rPr>
  </w:style>
  <w:style w:type="paragraph" w:styleId="CommentSubject">
    <w:name w:val="annotation subject"/>
    <w:basedOn w:val="CommentText"/>
    <w:next w:val="CommentText"/>
    <w:link w:val="CommentSubjectChar"/>
    <w:uiPriority w:val="99"/>
    <w:semiHidden/>
    <w:unhideWhenUsed/>
    <w:rsid w:val="003D26CB"/>
    <w:rPr>
      <w:b/>
      <w:bCs/>
    </w:rPr>
  </w:style>
  <w:style w:type="character" w:customStyle="1" w:styleId="CommentSubjectChar">
    <w:name w:val="Comment Subject Char"/>
    <w:basedOn w:val="CommentTextChar"/>
    <w:link w:val="CommentSubject"/>
    <w:uiPriority w:val="99"/>
    <w:semiHidden/>
    <w:rsid w:val="003D26CB"/>
    <w:rPr>
      <w:b/>
      <w:bCs/>
      <w:sz w:val="20"/>
      <w:szCs w:val="20"/>
    </w:rPr>
  </w:style>
  <w:style w:type="paragraph" w:styleId="BodyText">
    <w:name w:val="Body Text"/>
    <w:basedOn w:val="Normal"/>
    <w:link w:val="BodyTextChar"/>
    <w:rsid w:val="00C519B6"/>
    <w:pPr>
      <w:spacing w:after="0" w:line="240" w:lineRule="auto"/>
      <w:jc w:val="center"/>
    </w:pPr>
    <w:rPr>
      <w:rFonts w:ascii="Times New Roman" w:eastAsia="Times New Roman" w:hAnsi="Times New Roman" w:cs="Times New Roman"/>
      <w:b/>
      <w:bCs/>
      <w:sz w:val="40"/>
      <w:szCs w:val="20"/>
      <w:lang w:val="fr-BE"/>
    </w:rPr>
  </w:style>
  <w:style w:type="character" w:customStyle="1" w:styleId="BodyTextChar">
    <w:name w:val="Body Text Char"/>
    <w:basedOn w:val="DefaultParagraphFont"/>
    <w:link w:val="BodyText"/>
    <w:rsid w:val="00C519B6"/>
    <w:rPr>
      <w:rFonts w:ascii="Times New Roman" w:eastAsia="Times New Roman" w:hAnsi="Times New Roman" w:cs="Times New Roman"/>
      <w:b/>
      <w:bCs/>
      <w:sz w:val="40"/>
      <w:szCs w:val="20"/>
      <w:lang w:val="fr-BE"/>
    </w:rPr>
  </w:style>
  <w:style w:type="character" w:styleId="Hyperlink">
    <w:name w:val="Hyperlink"/>
    <w:basedOn w:val="DefaultParagraphFont"/>
    <w:uiPriority w:val="99"/>
    <w:unhideWhenUsed/>
    <w:rsid w:val="00C519B6"/>
    <w:rPr>
      <w:color w:val="0000FF" w:themeColor="hyperlink"/>
      <w:u w:val="single"/>
    </w:rPr>
  </w:style>
  <w:style w:type="character" w:styleId="Strong">
    <w:name w:val="Strong"/>
    <w:basedOn w:val="DefaultParagraphFont"/>
    <w:qFormat/>
    <w:rsid w:val="00311D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948410">
      <w:bodyDiv w:val="1"/>
      <w:marLeft w:val="0"/>
      <w:marRight w:val="0"/>
      <w:marTop w:val="0"/>
      <w:marBottom w:val="0"/>
      <w:divBdr>
        <w:top w:val="none" w:sz="0" w:space="0" w:color="auto"/>
        <w:left w:val="none" w:sz="0" w:space="0" w:color="auto"/>
        <w:bottom w:val="none" w:sz="0" w:space="0" w:color="auto"/>
        <w:right w:val="none" w:sz="0" w:space="0" w:color="auto"/>
      </w:divBdr>
    </w:div>
    <w:div w:id="612245658">
      <w:bodyDiv w:val="1"/>
      <w:marLeft w:val="0"/>
      <w:marRight w:val="0"/>
      <w:marTop w:val="0"/>
      <w:marBottom w:val="0"/>
      <w:divBdr>
        <w:top w:val="none" w:sz="0" w:space="0" w:color="auto"/>
        <w:left w:val="none" w:sz="0" w:space="0" w:color="auto"/>
        <w:bottom w:val="none" w:sz="0" w:space="0" w:color="auto"/>
        <w:right w:val="none" w:sz="0" w:space="0" w:color="auto"/>
      </w:divBdr>
    </w:div>
    <w:div w:id="734007872">
      <w:bodyDiv w:val="1"/>
      <w:marLeft w:val="0"/>
      <w:marRight w:val="0"/>
      <w:marTop w:val="0"/>
      <w:marBottom w:val="0"/>
      <w:divBdr>
        <w:top w:val="none" w:sz="0" w:space="0" w:color="auto"/>
        <w:left w:val="none" w:sz="0" w:space="0" w:color="auto"/>
        <w:bottom w:val="none" w:sz="0" w:space="0" w:color="auto"/>
        <w:right w:val="none" w:sz="0" w:space="0" w:color="auto"/>
      </w:divBdr>
    </w:div>
    <w:div w:id="875855526">
      <w:bodyDiv w:val="1"/>
      <w:marLeft w:val="0"/>
      <w:marRight w:val="0"/>
      <w:marTop w:val="0"/>
      <w:marBottom w:val="0"/>
      <w:divBdr>
        <w:top w:val="none" w:sz="0" w:space="0" w:color="auto"/>
        <w:left w:val="none" w:sz="0" w:space="0" w:color="auto"/>
        <w:bottom w:val="none" w:sz="0" w:space="0" w:color="auto"/>
        <w:right w:val="none" w:sz="0" w:space="0" w:color="auto"/>
      </w:divBdr>
    </w:div>
    <w:div w:id="893931910">
      <w:bodyDiv w:val="1"/>
      <w:marLeft w:val="0"/>
      <w:marRight w:val="0"/>
      <w:marTop w:val="0"/>
      <w:marBottom w:val="0"/>
      <w:divBdr>
        <w:top w:val="none" w:sz="0" w:space="0" w:color="auto"/>
        <w:left w:val="none" w:sz="0" w:space="0" w:color="auto"/>
        <w:bottom w:val="none" w:sz="0" w:space="0" w:color="auto"/>
        <w:right w:val="none" w:sz="0" w:space="0" w:color="auto"/>
      </w:divBdr>
    </w:div>
    <w:div w:id="971326154">
      <w:bodyDiv w:val="1"/>
      <w:marLeft w:val="0"/>
      <w:marRight w:val="0"/>
      <w:marTop w:val="0"/>
      <w:marBottom w:val="0"/>
      <w:divBdr>
        <w:top w:val="none" w:sz="0" w:space="0" w:color="auto"/>
        <w:left w:val="none" w:sz="0" w:space="0" w:color="auto"/>
        <w:bottom w:val="none" w:sz="0" w:space="0" w:color="auto"/>
        <w:right w:val="none" w:sz="0" w:space="0" w:color="auto"/>
      </w:divBdr>
    </w:div>
    <w:div w:id="1329359120">
      <w:bodyDiv w:val="1"/>
      <w:marLeft w:val="0"/>
      <w:marRight w:val="0"/>
      <w:marTop w:val="0"/>
      <w:marBottom w:val="0"/>
      <w:divBdr>
        <w:top w:val="none" w:sz="0" w:space="0" w:color="auto"/>
        <w:left w:val="none" w:sz="0" w:space="0" w:color="auto"/>
        <w:bottom w:val="none" w:sz="0" w:space="0" w:color="auto"/>
        <w:right w:val="none" w:sz="0" w:space="0" w:color="auto"/>
      </w:divBdr>
      <w:divsChild>
        <w:div w:id="1015233276">
          <w:marLeft w:val="0"/>
          <w:marRight w:val="0"/>
          <w:marTop w:val="0"/>
          <w:marBottom w:val="0"/>
          <w:divBdr>
            <w:top w:val="none" w:sz="0" w:space="0" w:color="auto"/>
            <w:left w:val="none" w:sz="0" w:space="0" w:color="auto"/>
            <w:bottom w:val="none" w:sz="0" w:space="0" w:color="auto"/>
            <w:right w:val="none" w:sz="0" w:space="0" w:color="auto"/>
          </w:divBdr>
        </w:div>
        <w:div w:id="1637761100">
          <w:marLeft w:val="0"/>
          <w:marRight w:val="0"/>
          <w:marTop w:val="0"/>
          <w:marBottom w:val="0"/>
          <w:divBdr>
            <w:top w:val="none" w:sz="0" w:space="0" w:color="auto"/>
            <w:left w:val="none" w:sz="0" w:space="0" w:color="auto"/>
            <w:bottom w:val="none" w:sz="0" w:space="0" w:color="auto"/>
            <w:right w:val="none" w:sz="0" w:space="0" w:color="auto"/>
          </w:divBdr>
        </w:div>
        <w:div w:id="1152480728">
          <w:marLeft w:val="0"/>
          <w:marRight w:val="0"/>
          <w:marTop w:val="0"/>
          <w:marBottom w:val="0"/>
          <w:divBdr>
            <w:top w:val="none" w:sz="0" w:space="0" w:color="auto"/>
            <w:left w:val="none" w:sz="0" w:space="0" w:color="auto"/>
            <w:bottom w:val="none" w:sz="0" w:space="0" w:color="auto"/>
            <w:right w:val="none" w:sz="0" w:space="0" w:color="auto"/>
          </w:divBdr>
        </w:div>
        <w:div w:id="2032486992">
          <w:marLeft w:val="0"/>
          <w:marRight w:val="0"/>
          <w:marTop w:val="0"/>
          <w:marBottom w:val="0"/>
          <w:divBdr>
            <w:top w:val="none" w:sz="0" w:space="0" w:color="auto"/>
            <w:left w:val="none" w:sz="0" w:space="0" w:color="auto"/>
            <w:bottom w:val="none" w:sz="0" w:space="0" w:color="auto"/>
            <w:right w:val="none" w:sz="0" w:space="0" w:color="auto"/>
          </w:divBdr>
        </w:div>
        <w:div w:id="259684307">
          <w:marLeft w:val="0"/>
          <w:marRight w:val="0"/>
          <w:marTop w:val="0"/>
          <w:marBottom w:val="0"/>
          <w:divBdr>
            <w:top w:val="none" w:sz="0" w:space="0" w:color="auto"/>
            <w:left w:val="none" w:sz="0" w:space="0" w:color="auto"/>
            <w:bottom w:val="none" w:sz="0" w:space="0" w:color="auto"/>
            <w:right w:val="none" w:sz="0" w:space="0" w:color="auto"/>
          </w:divBdr>
        </w:div>
        <w:div w:id="2047632023">
          <w:marLeft w:val="0"/>
          <w:marRight w:val="0"/>
          <w:marTop w:val="0"/>
          <w:marBottom w:val="0"/>
          <w:divBdr>
            <w:top w:val="none" w:sz="0" w:space="0" w:color="auto"/>
            <w:left w:val="none" w:sz="0" w:space="0" w:color="auto"/>
            <w:bottom w:val="none" w:sz="0" w:space="0" w:color="auto"/>
            <w:right w:val="none" w:sz="0" w:space="0" w:color="auto"/>
          </w:divBdr>
        </w:div>
        <w:div w:id="1343972398">
          <w:marLeft w:val="0"/>
          <w:marRight w:val="0"/>
          <w:marTop w:val="0"/>
          <w:marBottom w:val="0"/>
          <w:divBdr>
            <w:top w:val="none" w:sz="0" w:space="0" w:color="auto"/>
            <w:left w:val="none" w:sz="0" w:space="0" w:color="auto"/>
            <w:bottom w:val="none" w:sz="0" w:space="0" w:color="auto"/>
            <w:right w:val="none" w:sz="0" w:space="0" w:color="auto"/>
          </w:divBdr>
        </w:div>
        <w:div w:id="1358199218">
          <w:marLeft w:val="0"/>
          <w:marRight w:val="0"/>
          <w:marTop w:val="0"/>
          <w:marBottom w:val="0"/>
          <w:divBdr>
            <w:top w:val="none" w:sz="0" w:space="0" w:color="auto"/>
            <w:left w:val="none" w:sz="0" w:space="0" w:color="auto"/>
            <w:bottom w:val="none" w:sz="0" w:space="0" w:color="auto"/>
            <w:right w:val="none" w:sz="0" w:space="0" w:color="auto"/>
          </w:divBdr>
        </w:div>
        <w:div w:id="1542356757">
          <w:marLeft w:val="0"/>
          <w:marRight w:val="0"/>
          <w:marTop w:val="0"/>
          <w:marBottom w:val="0"/>
          <w:divBdr>
            <w:top w:val="none" w:sz="0" w:space="0" w:color="auto"/>
            <w:left w:val="none" w:sz="0" w:space="0" w:color="auto"/>
            <w:bottom w:val="none" w:sz="0" w:space="0" w:color="auto"/>
            <w:right w:val="none" w:sz="0" w:space="0" w:color="auto"/>
          </w:divBdr>
        </w:div>
        <w:div w:id="1684741043">
          <w:marLeft w:val="0"/>
          <w:marRight w:val="0"/>
          <w:marTop w:val="0"/>
          <w:marBottom w:val="0"/>
          <w:divBdr>
            <w:top w:val="none" w:sz="0" w:space="0" w:color="auto"/>
            <w:left w:val="none" w:sz="0" w:space="0" w:color="auto"/>
            <w:bottom w:val="none" w:sz="0" w:space="0" w:color="auto"/>
            <w:right w:val="none" w:sz="0" w:space="0" w:color="auto"/>
          </w:divBdr>
        </w:div>
        <w:div w:id="809173290">
          <w:marLeft w:val="0"/>
          <w:marRight w:val="0"/>
          <w:marTop w:val="0"/>
          <w:marBottom w:val="0"/>
          <w:divBdr>
            <w:top w:val="none" w:sz="0" w:space="0" w:color="auto"/>
            <w:left w:val="none" w:sz="0" w:space="0" w:color="auto"/>
            <w:bottom w:val="none" w:sz="0" w:space="0" w:color="auto"/>
            <w:right w:val="none" w:sz="0" w:space="0" w:color="auto"/>
          </w:divBdr>
        </w:div>
        <w:div w:id="907959780">
          <w:marLeft w:val="0"/>
          <w:marRight w:val="0"/>
          <w:marTop w:val="0"/>
          <w:marBottom w:val="0"/>
          <w:divBdr>
            <w:top w:val="none" w:sz="0" w:space="0" w:color="auto"/>
            <w:left w:val="none" w:sz="0" w:space="0" w:color="auto"/>
            <w:bottom w:val="none" w:sz="0" w:space="0" w:color="auto"/>
            <w:right w:val="none" w:sz="0" w:space="0" w:color="auto"/>
          </w:divBdr>
        </w:div>
        <w:div w:id="228422386">
          <w:marLeft w:val="0"/>
          <w:marRight w:val="0"/>
          <w:marTop w:val="0"/>
          <w:marBottom w:val="0"/>
          <w:divBdr>
            <w:top w:val="none" w:sz="0" w:space="0" w:color="auto"/>
            <w:left w:val="none" w:sz="0" w:space="0" w:color="auto"/>
            <w:bottom w:val="none" w:sz="0" w:space="0" w:color="auto"/>
            <w:right w:val="none" w:sz="0" w:space="0" w:color="auto"/>
          </w:divBdr>
        </w:div>
        <w:div w:id="1714384728">
          <w:marLeft w:val="0"/>
          <w:marRight w:val="0"/>
          <w:marTop w:val="0"/>
          <w:marBottom w:val="0"/>
          <w:divBdr>
            <w:top w:val="none" w:sz="0" w:space="0" w:color="auto"/>
            <w:left w:val="none" w:sz="0" w:space="0" w:color="auto"/>
            <w:bottom w:val="none" w:sz="0" w:space="0" w:color="auto"/>
            <w:right w:val="none" w:sz="0" w:space="0" w:color="auto"/>
          </w:divBdr>
        </w:div>
        <w:div w:id="667051368">
          <w:marLeft w:val="0"/>
          <w:marRight w:val="0"/>
          <w:marTop w:val="0"/>
          <w:marBottom w:val="0"/>
          <w:divBdr>
            <w:top w:val="none" w:sz="0" w:space="0" w:color="auto"/>
            <w:left w:val="none" w:sz="0" w:space="0" w:color="auto"/>
            <w:bottom w:val="none" w:sz="0" w:space="0" w:color="auto"/>
            <w:right w:val="none" w:sz="0" w:space="0" w:color="auto"/>
          </w:divBdr>
        </w:div>
        <w:div w:id="1642686761">
          <w:marLeft w:val="0"/>
          <w:marRight w:val="0"/>
          <w:marTop w:val="0"/>
          <w:marBottom w:val="0"/>
          <w:divBdr>
            <w:top w:val="none" w:sz="0" w:space="0" w:color="auto"/>
            <w:left w:val="none" w:sz="0" w:space="0" w:color="auto"/>
            <w:bottom w:val="none" w:sz="0" w:space="0" w:color="auto"/>
            <w:right w:val="none" w:sz="0" w:space="0" w:color="auto"/>
          </w:divBdr>
        </w:div>
        <w:div w:id="1685401967">
          <w:marLeft w:val="0"/>
          <w:marRight w:val="0"/>
          <w:marTop w:val="0"/>
          <w:marBottom w:val="0"/>
          <w:divBdr>
            <w:top w:val="none" w:sz="0" w:space="0" w:color="auto"/>
            <w:left w:val="none" w:sz="0" w:space="0" w:color="auto"/>
            <w:bottom w:val="none" w:sz="0" w:space="0" w:color="auto"/>
            <w:right w:val="none" w:sz="0" w:space="0" w:color="auto"/>
          </w:divBdr>
        </w:div>
        <w:div w:id="259801647">
          <w:marLeft w:val="0"/>
          <w:marRight w:val="0"/>
          <w:marTop w:val="0"/>
          <w:marBottom w:val="0"/>
          <w:divBdr>
            <w:top w:val="none" w:sz="0" w:space="0" w:color="auto"/>
            <w:left w:val="none" w:sz="0" w:space="0" w:color="auto"/>
            <w:bottom w:val="none" w:sz="0" w:space="0" w:color="auto"/>
            <w:right w:val="none" w:sz="0" w:space="0" w:color="auto"/>
          </w:divBdr>
        </w:div>
        <w:div w:id="1238176133">
          <w:marLeft w:val="0"/>
          <w:marRight w:val="0"/>
          <w:marTop w:val="0"/>
          <w:marBottom w:val="0"/>
          <w:divBdr>
            <w:top w:val="none" w:sz="0" w:space="0" w:color="auto"/>
            <w:left w:val="none" w:sz="0" w:space="0" w:color="auto"/>
            <w:bottom w:val="none" w:sz="0" w:space="0" w:color="auto"/>
            <w:right w:val="none" w:sz="0" w:space="0" w:color="auto"/>
          </w:divBdr>
          <w:divsChild>
            <w:div w:id="369962036">
              <w:marLeft w:val="0"/>
              <w:marRight w:val="0"/>
              <w:marTop w:val="0"/>
              <w:marBottom w:val="0"/>
              <w:divBdr>
                <w:top w:val="none" w:sz="0" w:space="0" w:color="auto"/>
                <w:left w:val="none" w:sz="0" w:space="0" w:color="auto"/>
                <w:bottom w:val="none" w:sz="0" w:space="0" w:color="auto"/>
                <w:right w:val="none" w:sz="0" w:space="0" w:color="auto"/>
              </w:divBdr>
            </w:div>
          </w:divsChild>
        </w:div>
        <w:div w:id="477497927">
          <w:marLeft w:val="0"/>
          <w:marRight w:val="0"/>
          <w:marTop w:val="0"/>
          <w:marBottom w:val="0"/>
          <w:divBdr>
            <w:top w:val="none" w:sz="0" w:space="0" w:color="auto"/>
            <w:left w:val="none" w:sz="0" w:space="0" w:color="auto"/>
            <w:bottom w:val="none" w:sz="0" w:space="0" w:color="auto"/>
            <w:right w:val="none" w:sz="0" w:space="0" w:color="auto"/>
          </w:divBdr>
        </w:div>
        <w:div w:id="1542864600">
          <w:marLeft w:val="0"/>
          <w:marRight w:val="0"/>
          <w:marTop w:val="0"/>
          <w:marBottom w:val="0"/>
          <w:divBdr>
            <w:top w:val="none" w:sz="0" w:space="0" w:color="auto"/>
            <w:left w:val="none" w:sz="0" w:space="0" w:color="auto"/>
            <w:bottom w:val="none" w:sz="0" w:space="0" w:color="auto"/>
            <w:right w:val="none" w:sz="0" w:space="0" w:color="auto"/>
          </w:divBdr>
        </w:div>
        <w:div w:id="1971009407">
          <w:marLeft w:val="0"/>
          <w:marRight w:val="0"/>
          <w:marTop w:val="0"/>
          <w:marBottom w:val="0"/>
          <w:divBdr>
            <w:top w:val="none" w:sz="0" w:space="0" w:color="auto"/>
            <w:left w:val="none" w:sz="0" w:space="0" w:color="auto"/>
            <w:bottom w:val="none" w:sz="0" w:space="0" w:color="auto"/>
            <w:right w:val="none" w:sz="0" w:space="0" w:color="auto"/>
          </w:divBdr>
        </w:div>
        <w:div w:id="687875162">
          <w:marLeft w:val="0"/>
          <w:marRight w:val="0"/>
          <w:marTop w:val="0"/>
          <w:marBottom w:val="0"/>
          <w:divBdr>
            <w:top w:val="none" w:sz="0" w:space="0" w:color="auto"/>
            <w:left w:val="none" w:sz="0" w:space="0" w:color="auto"/>
            <w:bottom w:val="none" w:sz="0" w:space="0" w:color="auto"/>
            <w:right w:val="none" w:sz="0" w:space="0" w:color="auto"/>
          </w:divBdr>
        </w:div>
        <w:div w:id="685407239">
          <w:marLeft w:val="0"/>
          <w:marRight w:val="0"/>
          <w:marTop w:val="0"/>
          <w:marBottom w:val="0"/>
          <w:divBdr>
            <w:top w:val="none" w:sz="0" w:space="0" w:color="auto"/>
            <w:left w:val="none" w:sz="0" w:space="0" w:color="auto"/>
            <w:bottom w:val="none" w:sz="0" w:space="0" w:color="auto"/>
            <w:right w:val="none" w:sz="0" w:space="0" w:color="auto"/>
          </w:divBdr>
        </w:div>
        <w:div w:id="1358240680">
          <w:marLeft w:val="0"/>
          <w:marRight w:val="0"/>
          <w:marTop w:val="0"/>
          <w:marBottom w:val="0"/>
          <w:divBdr>
            <w:top w:val="none" w:sz="0" w:space="0" w:color="auto"/>
            <w:left w:val="none" w:sz="0" w:space="0" w:color="auto"/>
            <w:bottom w:val="none" w:sz="0" w:space="0" w:color="auto"/>
            <w:right w:val="none" w:sz="0" w:space="0" w:color="auto"/>
          </w:divBdr>
        </w:div>
        <w:div w:id="203687293">
          <w:marLeft w:val="0"/>
          <w:marRight w:val="0"/>
          <w:marTop w:val="0"/>
          <w:marBottom w:val="0"/>
          <w:divBdr>
            <w:top w:val="none" w:sz="0" w:space="0" w:color="auto"/>
            <w:left w:val="none" w:sz="0" w:space="0" w:color="auto"/>
            <w:bottom w:val="none" w:sz="0" w:space="0" w:color="auto"/>
            <w:right w:val="none" w:sz="0" w:space="0" w:color="auto"/>
          </w:divBdr>
        </w:div>
        <w:div w:id="269439955">
          <w:marLeft w:val="0"/>
          <w:marRight w:val="0"/>
          <w:marTop w:val="0"/>
          <w:marBottom w:val="0"/>
          <w:divBdr>
            <w:top w:val="none" w:sz="0" w:space="0" w:color="auto"/>
            <w:left w:val="none" w:sz="0" w:space="0" w:color="auto"/>
            <w:bottom w:val="none" w:sz="0" w:space="0" w:color="auto"/>
            <w:right w:val="none" w:sz="0" w:space="0" w:color="auto"/>
          </w:divBdr>
        </w:div>
        <w:div w:id="1665236339">
          <w:marLeft w:val="0"/>
          <w:marRight w:val="0"/>
          <w:marTop w:val="0"/>
          <w:marBottom w:val="0"/>
          <w:divBdr>
            <w:top w:val="none" w:sz="0" w:space="0" w:color="auto"/>
            <w:left w:val="none" w:sz="0" w:space="0" w:color="auto"/>
            <w:bottom w:val="none" w:sz="0" w:space="0" w:color="auto"/>
            <w:right w:val="none" w:sz="0" w:space="0" w:color="auto"/>
          </w:divBdr>
        </w:div>
        <w:div w:id="1137140429">
          <w:marLeft w:val="0"/>
          <w:marRight w:val="0"/>
          <w:marTop w:val="0"/>
          <w:marBottom w:val="0"/>
          <w:divBdr>
            <w:top w:val="none" w:sz="0" w:space="0" w:color="auto"/>
            <w:left w:val="none" w:sz="0" w:space="0" w:color="auto"/>
            <w:bottom w:val="none" w:sz="0" w:space="0" w:color="auto"/>
            <w:right w:val="none" w:sz="0" w:space="0" w:color="auto"/>
          </w:divBdr>
        </w:div>
        <w:div w:id="99493627">
          <w:marLeft w:val="0"/>
          <w:marRight w:val="0"/>
          <w:marTop w:val="0"/>
          <w:marBottom w:val="0"/>
          <w:divBdr>
            <w:top w:val="none" w:sz="0" w:space="0" w:color="auto"/>
            <w:left w:val="none" w:sz="0" w:space="0" w:color="auto"/>
            <w:bottom w:val="none" w:sz="0" w:space="0" w:color="auto"/>
            <w:right w:val="none" w:sz="0" w:space="0" w:color="auto"/>
          </w:divBdr>
        </w:div>
        <w:div w:id="90585371">
          <w:marLeft w:val="0"/>
          <w:marRight w:val="0"/>
          <w:marTop w:val="0"/>
          <w:marBottom w:val="0"/>
          <w:divBdr>
            <w:top w:val="none" w:sz="0" w:space="0" w:color="auto"/>
            <w:left w:val="none" w:sz="0" w:space="0" w:color="auto"/>
            <w:bottom w:val="none" w:sz="0" w:space="0" w:color="auto"/>
            <w:right w:val="none" w:sz="0" w:space="0" w:color="auto"/>
          </w:divBdr>
        </w:div>
      </w:divsChild>
    </w:div>
    <w:div w:id="1619526275">
      <w:bodyDiv w:val="1"/>
      <w:marLeft w:val="0"/>
      <w:marRight w:val="0"/>
      <w:marTop w:val="0"/>
      <w:marBottom w:val="0"/>
      <w:divBdr>
        <w:top w:val="none" w:sz="0" w:space="0" w:color="auto"/>
        <w:left w:val="none" w:sz="0" w:space="0" w:color="auto"/>
        <w:bottom w:val="none" w:sz="0" w:space="0" w:color="auto"/>
        <w:right w:val="none" w:sz="0" w:space="0" w:color="auto"/>
      </w:divBdr>
    </w:div>
    <w:div w:id="1775591174">
      <w:bodyDiv w:val="1"/>
      <w:marLeft w:val="0"/>
      <w:marRight w:val="0"/>
      <w:marTop w:val="0"/>
      <w:marBottom w:val="0"/>
      <w:divBdr>
        <w:top w:val="none" w:sz="0" w:space="0" w:color="auto"/>
        <w:left w:val="none" w:sz="0" w:space="0" w:color="auto"/>
        <w:bottom w:val="none" w:sz="0" w:space="0" w:color="auto"/>
        <w:right w:val="none" w:sz="0" w:space="0" w:color="auto"/>
      </w:divBdr>
    </w:div>
    <w:div w:id="1851794748">
      <w:bodyDiv w:val="1"/>
      <w:marLeft w:val="0"/>
      <w:marRight w:val="0"/>
      <w:marTop w:val="0"/>
      <w:marBottom w:val="0"/>
      <w:divBdr>
        <w:top w:val="none" w:sz="0" w:space="0" w:color="auto"/>
        <w:left w:val="none" w:sz="0" w:space="0" w:color="auto"/>
        <w:bottom w:val="none" w:sz="0" w:space="0" w:color="auto"/>
        <w:right w:val="none" w:sz="0" w:space="0" w:color="auto"/>
      </w:divBdr>
    </w:div>
    <w:div w:id="1967542599">
      <w:bodyDiv w:val="1"/>
      <w:marLeft w:val="0"/>
      <w:marRight w:val="0"/>
      <w:marTop w:val="0"/>
      <w:marBottom w:val="0"/>
      <w:divBdr>
        <w:top w:val="none" w:sz="0" w:space="0" w:color="auto"/>
        <w:left w:val="none" w:sz="0" w:space="0" w:color="auto"/>
        <w:bottom w:val="none" w:sz="0" w:space="0" w:color="auto"/>
        <w:right w:val="none" w:sz="0" w:space="0" w:color="auto"/>
      </w:divBdr>
    </w:div>
    <w:div w:id="202239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3674F-9813-44ED-A579-FA256A2F5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3079</Words>
  <Characters>17556</Characters>
  <Application>Microsoft Office Word</Application>
  <DocSecurity>0</DocSecurity>
  <Lines>146</Lines>
  <Paragraphs>41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LCM-AMNC</Company>
  <LinksUpToDate>false</LinksUpToDate>
  <CharactersWithSpaces>20594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LCM-ANMC</dc:creator>
  <cp:lastModifiedBy>Guillaume, Joeri</cp:lastModifiedBy>
  <cp:revision>2</cp:revision>
  <dcterms:created xsi:type="dcterms:W3CDTF">2014-09-17T13:58:00Z</dcterms:created>
  <dcterms:modified xsi:type="dcterms:W3CDTF">2014-09-17T13:58:00Z</dcterms:modified>
</cp:coreProperties>
</file>